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4C96" w:rsidR="00187221" w:rsidP="000A4C96" w:rsidRDefault="003D6EE8" w14:paraId="165B952C" w14:textId="6B8A88FD">
      <w:pPr>
        <w:spacing w:before="100" w:beforeAutospacing="1" w:after="100" w:afterAutospacing="1" w:line="360" w:lineRule="auto"/>
        <w:jc w:val="center"/>
        <w:rPr>
          <w:rFonts w:eastAsia="Arial" w:asciiTheme="majorHAnsi" w:hAnsiTheme="majorHAnsi" w:cstheme="majorHAnsi"/>
          <w:b/>
          <w:bCs/>
          <w:u w:val="single"/>
        </w:rPr>
      </w:pPr>
      <w:bookmarkStart w:name="_Hlk220164530" w:id="0"/>
      <w:r>
        <w:rPr>
          <w:rFonts w:eastAsia="Arial" w:asciiTheme="majorHAnsi" w:hAnsiTheme="majorHAnsi" w:cstheme="majorHAnsi"/>
          <w:b/>
          <w:bCs/>
          <w:u w:val="single"/>
        </w:rPr>
        <w:t>CUMPLIMIENTO DE SENTENCIA DEL CASO DEFENSOR DE DERECHOS HUMANOS Y OTROS VS. GUATEMALA EMITIDA POR LA CORTE INTERAMERICANA DE DERECHOS HUMANOS (CORTE IDH)</w:t>
      </w:r>
    </w:p>
    <w:p w:rsidRPr="000A4C96" w:rsidR="00187221" w:rsidP="000A4C96" w:rsidRDefault="001A5946" w14:paraId="42842AB1" w14:textId="7DF33FBA">
      <w:pPr>
        <w:spacing w:beforeAutospacing="1" w:afterAutospacing="1" w:line="360" w:lineRule="auto"/>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 xml:space="preserve">El Ministerio de Gobernación, con base en la información proporcionada por la Asesoría Específica en materia de Derechos Humanos, informa sobre el estado actual de implementación de la Política </w:t>
      </w:r>
      <w:r>
        <w:rPr>
          <w:rFonts w:asciiTheme="majorHAnsi" w:hAnsiTheme="majorHAnsi" w:cstheme="majorHAnsi"/>
        </w:rPr>
        <w:t>Pública para la Protección de Personas Defensoras de Derechos Humanos en Guatemala 2025-2035, de conformidad con lo siguiente</w:t>
      </w:r>
      <w:r>
        <w:rPr>
          <w:rFonts w:eastAsia="Times New Roman" w:asciiTheme="majorHAnsi" w:hAnsiTheme="majorHAnsi" w:cstheme="majorHAnsi"/>
          <w:lang w:val="es-GT" w:eastAsia="es-GT"/>
        </w:rPr>
        <w:t>:</w:t>
      </w:r>
    </w:p>
    <w:p w:rsidRPr="000A4C96" w:rsidR="005E0DF8" w:rsidP="000A4C96" w:rsidRDefault="00B0045B" w14:paraId="657E2D2D" w14:textId="0CF24627">
      <w:pPr>
        <w:pStyle w:val="Prrafodelista"/>
        <w:numPr>
          <w:ilvl w:val="0"/>
          <w:numId w:val="3"/>
        </w:numPr>
        <w:spacing w:after="200" w:line="360" w:lineRule="auto"/>
        <w:jc w:val="both"/>
        <w:rPr>
          <w:rFonts w:asciiTheme="majorHAnsi" w:hAnsiTheme="majorHAnsi" w:cstheme="majorHAnsi"/>
          <w:b/>
          <w:bCs/>
        </w:rPr>
      </w:pPr>
      <w:r>
        <w:rPr>
          <w:rFonts w:asciiTheme="majorHAnsi" w:hAnsiTheme="majorHAnsi" w:cstheme="majorHAnsi"/>
          <w:b/>
          <w:bCs/>
        </w:rPr>
        <w:t>Antecedentes</w:t>
      </w:r>
    </w:p>
    <w:p w:rsidRPr="000A4C96" w:rsidR="00844010" w:rsidP="000A4C96" w:rsidRDefault="00844010" w14:paraId="27689BF9" w14:textId="77777777">
      <w:pPr>
        <w:pStyle w:val="Prrafodelista"/>
        <w:spacing w:before="100" w:beforeAutospacing="1" w:after="100" w:afterAutospacing="1" w:line="360" w:lineRule="auto"/>
        <w:ind w:left="360"/>
        <w:jc w:val="both"/>
        <w:rPr>
          <w:rFonts w:eastAsia="Times New Roman" w:asciiTheme="majorHAnsi" w:hAnsiTheme="majorHAnsi" w:cstheme="majorHAnsi"/>
          <w:lang w:val="es-GT" w:eastAsia="es-GT"/>
        </w:rPr>
      </w:pPr>
    </w:p>
    <w:p w:rsidRPr="000A4C96" w:rsidR="00844010" w:rsidP="000A4C96" w:rsidRDefault="00844010" w14:paraId="17889FC0" w14:textId="095072F7">
      <w:pPr>
        <w:pStyle w:val="Prrafodelista"/>
        <w:spacing w:before="100" w:beforeAutospacing="1" w:after="100" w:afterAutospacing="1" w:line="360" w:lineRule="auto"/>
        <w:ind w:left="360"/>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 xml:space="preserve">Dado que la Política fue aprobada </w:t>
      </w:r>
      <w:r w:rsidR="00ED207E">
        <w:rPr>
          <w:rFonts w:eastAsia="Times New Roman" w:asciiTheme="majorHAnsi" w:hAnsiTheme="majorHAnsi" w:cstheme="majorHAnsi"/>
          <w:lang w:val="es-GT" w:eastAsia="es-GT"/>
        </w:rPr>
        <w:t xml:space="preserve">el 13 de </w:t>
      </w:r>
      <w:r>
        <w:rPr>
          <w:rFonts w:eastAsia="Times New Roman" w:asciiTheme="majorHAnsi" w:hAnsiTheme="majorHAnsi" w:cstheme="majorHAnsi"/>
          <w:lang w:val="es-GT" w:eastAsia="es-GT"/>
        </w:rPr>
        <w:t>noviembre de 2025, los avances reportados corresponden al período comprendido entre su aprobación y la presente fecha. Es pertinente destacar que varias de las acciones ejecutadas por el Ministerio de Gobernación anticipan intervenciones estratégicas cuyo período de implementación previsto en la Política inicia formalmente en los años 1 y 2, lo que evidencia el compromiso institucional con un cumplimiento diligente y sin dilaciones.</w:t>
      </w:r>
    </w:p>
    <w:p w:rsidR="00844010" w:rsidP="000A4C96" w:rsidRDefault="00400D21" w14:paraId="34AACED1" w14:textId="281729E6">
      <w:pPr>
        <w:pStyle w:val="Prrafodelista"/>
        <w:spacing w:before="100" w:beforeAutospacing="1" w:after="100" w:afterAutospacing="1" w:line="360" w:lineRule="auto"/>
        <w:ind w:left="360"/>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En ese sentido se enuncian las actividades desarrolladas para la implementación de la Política. Para ello, se distingue entre las intervenciones estratégicas que el documento asigna literalmente al Ministerio de Gobernación como responsable directo, y aquellas acciones de carácter preparatorio que la institución ha adoptado para viabilizar el cumplimiento de dichas intervenciones.</w:t>
      </w:r>
    </w:p>
    <w:p w:rsidR="00844010" w:rsidP="185285A4" w:rsidRDefault="00ED207E" w14:paraId="2563B79D" w14:textId="01A7FA4F">
      <w:pPr>
        <w:pStyle w:val="Prrafodelista"/>
        <w:spacing w:before="100" w:beforeAutospacing="on" w:after="100" w:afterAutospacing="on" w:line="360" w:lineRule="auto"/>
        <w:ind w:left="360"/>
        <w:jc w:val="both"/>
        <w:rPr>
          <w:rFonts w:ascii="Calibri Light" w:hAnsi="Calibri Light" w:cs="Calibri Light" w:asciiTheme="majorAscii" w:hAnsiTheme="majorAscii" w:cstheme="majorAscii"/>
          <w:lang w:val="es-ES"/>
        </w:rPr>
      </w:pPr>
      <w:r w:rsidRPr="185285A4" w:rsidR="00ED207E">
        <w:rPr>
          <w:rFonts w:ascii="Calibri Light" w:hAnsi="Calibri Light" w:cs="Calibri Light" w:asciiTheme="majorAscii" w:hAnsiTheme="majorAscii" w:cstheme="majorAscii"/>
          <w:lang w:val="es-ES"/>
        </w:rPr>
        <w:t xml:space="preserve">Es importante mencionar </w:t>
      </w:r>
      <w:r w:rsidRPr="185285A4" w:rsidR="00400D21">
        <w:rPr>
          <w:rFonts w:ascii="Calibri Light" w:hAnsi="Calibri Light" w:cs="Calibri Light" w:asciiTheme="majorAscii" w:hAnsiTheme="majorAscii" w:cstheme="majorAscii"/>
          <w:lang w:val="es-ES"/>
        </w:rPr>
        <w:t xml:space="preserve">que </w:t>
      </w:r>
      <w:r w:rsidRPr="185285A4" w:rsidR="00C466F0">
        <w:rPr>
          <w:rFonts w:ascii="Calibri Light" w:hAnsi="Calibri Light" w:cs="Calibri Light" w:asciiTheme="majorAscii" w:hAnsiTheme="majorAscii" w:cstheme="majorAscii"/>
          <w:lang w:val="es-ES"/>
        </w:rPr>
        <w:t>a pesar que</w:t>
      </w:r>
      <w:r w:rsidRPr="185285A4" w:rsidR="00C466F0">
        <w:rPr>
          <w:rFonts w:ascii="Calibri Light" w:hAnsi="Calibri Light" w:cs="Calibri Light" w:asciiTheme="majorAscii" w:hAnsiTheme="majorAscii" w:cstheme="majorAscii"/>
          <w:lang w:val="es-ES"/>
        </w:rPr>
        <w:t xml:space="preserve"> existió un cambio de autoridades del Ministerio </w:t>
      </w:r>
      <w:r w:rsidRPr="185285A4" w:rsidR="00C466F0">
        <w:rPr>
          <w:rFonts w:ascii="Calibri Light" w:hAnsi="Calibri Light" w:cs="Calibri Light" w:asciiTheme="majorAscii" w:hAnsiTheme="majorAscii" w:cstheme="majorAscii"/>
          <w:lang w:val="es-ES"/>
        </w:rPr>
        <w:t>de  Gobernación</w:t>
      </w:r>
      <w:r w:rsidRPr="185285A4" w:rsidR="00C466F0">
        <w:rPr>
          <w:rFonts w:ascii="Calibri Light" w:hAnsi="Calibri Light" w:cs="Calibri Light" w:asciiTheme="majorAscii" w:hAnsiTheme="majorAscii" w:cstheme="majorAscii"/>
          <w:lang w:val="es-ES"/>
        </w:rPr>
        <w:t xml:space="preserve"> a finales del 2025 se mantuvo </w:t>
      </w:r>
      <w:r w:rsidRPr="185285A4" w:rsidR="00400D21">
        <w:rPr>
          <w:rFonts w:ascii="Calibri Light" w:hAnsi="Calibri Light" w:cs="Calibri Light" w:asciiTheme="majorAscii" w:hAnsiTheme="majorAscii" w:cstheme="majorAscii"/>
          <w:lang w:val="es-ES"/>
        </w:rPr>
        <w:t>el ritmo de</w:t>
      </w:r>
      <w:r w:rsidRPr="185285A4" w:rsidR="00ED207E">
        <w:rPr>
          <w:rFonts w:ascii="Calibri Light" w:hAnsi="Calibri Light" w:cs="Calibri Light" w:asciiTheme="majorAscii" w:hAnsiTheme="majorAscii" w:cstheme="majorAscii"/>
          <w:lang w:val="es-ES"/>
        </w:rPr>
        <w:t xml:space="preserve"> implementación de </w:t>
      </w:r>
      <w:r w:rsidRPr="185285A4" w:rsidR="00400D21">
        <w:rPr>
          <w:rFonts w:ascii="Calibri Light" w:hAnsi="Calibri Light" w:cs="Calibri Light" w:asciiTheme="majorAscii" w:hAnsiTheme="majorAscii" w:cstheme="majorAscii"/>
          <w:lang w:val="es-ES"/>
        </w:rPr>
        <w:t>las acciones que se reportan.</w:t>
      </w:r>
    </w:p>
    <w:p w:rsidR="00C466F0" w:rsidP="000A4C96" w:rsidRDefault="00C466F0" w14:paraId="71EFA16C" w14:textId="77777777">
      <w:pPr>
        <w:pStyle w:val="Prrafodelista"/>
        <w:spacing w:before="100" w:beforeAutospacing="1" w:after="100" w:afterAutospacing="1" w:line="360" w:lineRule="auto"/>
        <w:ind w:left="360"/>
        <w:jc w:val="both"/>
        <w:rPr>
          <w:rFonts w:eastAsia="Times New Roman" w:asciiTheme="majorHAnsi" w:hAnsiTheme="majorHAnsi" w:cstheme="majorHAnsi"/>
          <w:lang w:val="es-GT" w:eastAsia="es-GT"/>
        </w:rPr>
      </w:pPr>
    </w:p>
    <w:p w:rsidRPr="000A4C96" w:rsidR="007B0ED9" w:rsidP="00C466F0" w:rsidRDefault="0007699E" w14:paraId="320FA7C5" w14:textId="77777777">
      <w:pPr>
        <w:pStyle w:val="Prrafodelista"/>
        <w:numPr>
          <w:ilvl w:val="0"/>
          <w:numId w:val="3"/>
        </w:numPr>
        <w:spacing w:after="200" w:line="360" w:lineRule="auto"/>
        <w:jc w:val="both"/>
        <w:rPr>
          <w:rFonts w:asciiTheme="majorHAnsi" w:hAnsiTheme="majorHAnsi" w:cstheme="majorHAnsi"/>
          <w:b/>
          <w:bCs/>
        </w:rPr>
      </w:pPr>
      <w:r>
        <w:rPr>
          <w:rFonts w:asciiTheme="majorHAnsi" w:hAnsiTheme="majorHAnsi" w:cstheme="majorHAnsi"/>
          <w:b/>
          <w:bCs/>
        </w:rPr>
        <w:t>Avances alcanzados en la implementación</w:t>
      </w:r>
    </w:p>
    <w:p w:rsidRPr="000A4C96" w:rsidR="007B0ED9" w:rsidP="000A4C96" w:rsidRDefault="007B0ED9" w14:paraId="36A0A6F1" w14:textId="77777777">
      <w:pPr>
        <w:pStyle w:val="Prrafodelista"/>
        <w:spacing w:after="200" w:line="360" w:lineRule="auto"/>
        <w:ind w:left="360"/>
        <w:jc w:val="both"/>
        <w:rPr>
          <w:rFonts w:asciiTheme="majorHAnsi" w:hAnsiTheme="majorHAnsi" w:cstheme="majorHAnsi"/>
          <w:b/>
          <w:bCs/>
        </w:rPr>
      </w:pPr>
    </w:p>
    <w:p w:rsidRPr="000A4C96" w:rsidR="00C0695B" w:rsidP="000A4C96" w:rsidRDefault="001C72CE" w14:paraId="0C43030E" w14:textId="77777777">
      <w:pPr>
        <w:pStyle w:val="Prrafodelista"/>
        <w:numPr>
          <w:ilvl w:val="0"/>
          <w:numId w:val="7"/>
        </w:numPr>
        <w:spacing w:line="360" w:lineRule="auto"/>
        <w:rPr>
          <w:rFonts w:eastAsia="Times New Roman" w:asciiTheme="majorHAnsi" w:hAnsiTheme="majorHAnsi" w:cstheme="majorHAnsi"/>
          <w:lang w:val="es-GT" w:eastAsia="es-GT"/>
        </w:rPr>
      </w:pPr>
      <w:r>
        <w:rPr>
          <w:rFonts w:asciiTheme="majorHAnsi" w:hAnsiTheme="majorHAnsi" w:cstheme="majorHAnsi"/>
          <w:b/>
          <w:bCs/>
        </w:rPr>
        <w:lastRenderedPageBreak/>
        <w:t>Gobernanza de la Política: estructuración del Consejo Coordinador y elaboración de su reglamento:</w:t>
      </w:r>
    </w:p>
    <w:p w:rsidR="00C0695B" w:rsidP="002F46AC" w:rsidRDefault="00C0695B" w14:paraId="17370449" w14:textId="402FC8EA">
      <w:pPr>
        <w:pStyle w:val="Prrafodelista"/>
        <w:spacing w:line="360" w:lineRule="auto"/>
        <w:ind w:left="360"/>
        <w:jc w:val="both"/>
        <w:rPr>
          <w:rFonts w:asciiTheme="majorHAnsi" w:hAnsiTheme="majorHAnsi" w:cstheme="majorHAnsi"/>
        </w:rPr>
      </w:pPr>
      <w:r>
        <w:rPr>
          <w:rFonts w:asciiTheme="majorHAnsi" w:hAnsiTheme="majorHAnsi" w:cstheme="majorHAnsi"/>
        </w:rPr>
        <w:t xml:space="preserve">La institucionalización de la Política constituye un esfuerzo prioritario de esta cartera, </w:t>
      </w:r>
      <w:r w:rsidR="00E35A72">
        <w:rPr>
          <w:rFonts w:asciiTheme="majorHAnsi" w:hAnsiTheme="majorHAnsi" w:cstheme="majorHAnsi"/>
        </w:rPr>
        <w:t xml:space="preserve">para crear </w:t>
      </w:r>
      <w:r>
        <w:rPr>
          <w:rFonts w:asciiTheme="majorHAnsi" w:hAnsiTheme="majorHAnsi" w:cstheme="majorHAnsi"/>
        </w:rPr>
        <w:t>condiciones de validación, continuidad y sostenibilidad con independencia de</w:t>
      </w:r>
      <w:r w:rsidR="00E35A72">
        <w:rPr>
          <w:rFonts w:asciiTheme="majorHAnsi" w:hAnsiTheme="majorHAnsi" w:cstheme="majorHAnsi"/>
        </w:rPr>
        <w:t>l cambio</w:t>
      </w:r>
      <w:r>
        <w:rPr>
          <w:rFonts w:asciiTheme="majorHAnsi" w:hAnsiTheme="majorHAnsi" w:cstheme="majorHAnsi"/>
        </w:rPr>
        <w:t xml:space="preserve"> de gobierno y de autoridades. </w:t>
      </w:r>
      <w:r w:rsidR="002F46AC">
        <w:rPr>
          <w:rFonts w:asciiTheme="majorHAnsi" w:hAnsiTheme="majorHAnsi" w:cstheme="majorHAnsi"/>
        </w:rPr>
        <w:t xml:space="preserve">Es </w:t>
      </w:r>
      <w:r w:rsidRPr="00BE46C3" w:rsidR="002F46AC">
        <w:rPr>
          <w:rFonts w:asciiTheme="majorHAnsi" w:hAnsiTheme="majorHAnsi" w:cstheme="majorHAnsi"/>
          <w:highlight w:val="yellow"/>
        </w:rPr>
        <w:t xml:space="preserve">importante </w:t>
      </w:r>
      <w:r w:rsidR="00DE3EE9">
        <w:rPr>
          <w:rFonts w:asciiTheme="majorHAnsi" w:hAnsiTheme="majorHAnsi" w:cstheme="majorHAnsi"/>
          <w:highlight w:val="yellow"/>
        </w:rPr>
        <w:t xml:space="preserve">fortalecer este proceso de institucionalización del Consejo Coordinador </w:t>
      </w:r>
      <w:r w:rsidRPr="00BE46C3" w:rsidR="002F46AC">
        <w:rPr>
          <w:rFonts w:asciiTheme="majorHAnsi" w:hAnsiTheme="majorHAnsi" w:cstheme="majorHAnsi"/>
          <w:highlight w:val="yellow"/>
        </w:rPr>
        <w:t>con el acompañamiento, colaboración activa y principalmente con la validación de sociedad civil</w:t>
      </w:r>
      <w:r w:rsidR="002F46AC">
        <w:rPr>
          <w:rFonts w:asciiTheme="majorHAnsi" w:hAnsiTheme="majorHAnsi" w:cstheme="majorHAnsi"/>
          <w:highlight w:val="yellow"/>
        </w:rPr>
        <w:t>.</w:t>
      </w:r>
      <w:r w:rsidRPr="00BE46C3" w:rsidR="002F46AC">
        <w:rPr>
          <w:rFonts w:asciiTheme="majorHAnsi" w:hAnsiTheme="majorHAnsi" w:cstheme="majorHAnsi"/>
          <w:highlight w:val="yellow"/>
        </w:rPr>
        <w:t xml:space="preserve"> </w:t>
      </w:r>
      <w:r w:rsidR="002F46AC">
        <w:rPr>
          <w:rFonts w:asciiTheme="majorHAnsi" w:hAnsiTheme="majorHAnsi" w:cstheme="majorHAnsi"/>
        </w:rPr>
        <w:t xml:space="preserve"> </w:t>
      </w:r>
      <w:r w:rsidRPr="002F46AC">
        <w:rPr>
          <w:rFonts w:asciiTheme="majorHAnsi" w:hAnsiTheme="majorHAnsi" w:cstheme="majorHAnsi"/>
        </w:rPr>
        <w:t xml:space="preserve">En ese marco, </w:t>
      </w:r>
      <w:r w:rsidR="002F46AC">
        <w:rPr>
          <w:rFonts w:asciiTheme="majorHAnsi" w:hAnsiTheme="majorHAnsi" w:cstheme="majorHAnsi"/>
        </w:rPr>
        <w:t xml:space="preserve">se </w:t>
      </w:r>
      <w:r w:rsidR="00DE3EE9">
        <w:rPr>
          <w:rFonts w:asciiTheme="majorHAnsi" w:hAnsiTheme="majorHAnsi" w:cstheme="majorHAnsi"/>
        </w:rPr>
        <w:t xml:space="preserve">informa que se está elaborando </w:t>
      </w:r>
      <w:r w:rsidRPr="002F46AC">
        <w:rPr>
          <w:rFonts w:asciiTheme="majorHAnsi" w:hAnsiTheme="majorHAnsi" w:cstheme="majorHAnsi"/>
        </w:rPr>
        <w:t>el instrumento normativo que regulará la creación, integración y funcionamiento del Consejo Coordinador de la Política.</w:t>
      </w:r>
    </w:p>
    <w:p w:rsidR="0041150B" w:rsidP="002F46AC" w:rsidRDefault="0041150B" w14:paraId="043B8D75" w14:textId="7BAE69D0">
      <w:pPr>
        <w:pStyle w:val="Prrafodelista"/>
        <w:spacing w:line="360" w:lineRule="auto"/>
        <w:ind w:left="360"/>
        <w:jc w:val="both"/>
        <w:rPr>
          <w:rFonts w:asciiTheme="majorHAnsi" w:hAnsiTheme="majorHAnsi" w:cstheme="majorHAnsi"/>
        </w:rPr>
      </w:pPr>
    </w:p>
    <w:p w:rsidRPr="000A4C96" w:rsidR="00C0695B" w:rsidP="000A4C96" w:rsidRDefault="00C0695B" w14:paraId="7D87C7B7"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Esta cartera ha valorado que el Acuerdo Gubernativo constituye el instrumento idóneo para el efecto, por tratarse del desarrollo de una política pública emanada del Organismo Ejecutivo. En su diseño se presta especial atención a dotar al Consejo Coordinador de una composición efectivamente interinstitucional que, además de las dependencias del Organismo Ejecutivo, contemple la participación de actores clave del Organismo Judicial, del Organismo Legislativo y de entidades autónomas como el Ministerio Público. Asimismo, se detallarán los procedimientos para la activación del sistema de protección, el modelo de análisis de riesgo, el catálogo de medidas de protección y el sistema de gestión de información, en estricta observancia de las obligaciones internacionales del Estado de Guatemala.</w:t>
      </w:r>
    </w:p>
    <w:p w:rsidRPr="000A4C96" w:rsidR="00C0695B" w:rsidP="000A4C96" w:rsidRDefault="00C0695B" w14:paraId="5D05B4D6" w14:textId="77777777">
      <w:pPr>
        <w:pStyle w:val="Prrafodelista"/>
        <w:spacing w:line="360" w:lineRule="auto"/>
        <w:ind w:left="360"/>
        <w:jc w:val="both"/>
        <w:rPr>
          <w:rFonts w:asciiTheme="majorHAnsi" w:hAnsiTheme="majorHAnsi" w:cstheme="majorHAnsi"/>
        </w:rPr>
      </w:pPr>
    </w:p>
    <w:p w:rsidRPr="000A4C96" w:rsidR="00C0695B" w:rsidP="000A4C96" w:rsidRDefault="00C0695B" w14:paraId="3EF74B3C" w14:textId="4B6BE4DC">
      <w:pPr>
        <w:pStyle w:val="Prrafodelista"/>
        <w:spacing w:line="360" w:lineRule="auto"/>
        <w:ind w:left="360"/>
        <w:jc w:val="both"/>
        <w:rPr>
          <w:rFonts w:asciiTheme="majorHAnsi" w:hAnsiTheme="majorHAnsi" w:cstheme="majorHAnsi"/>
        </w:rPr>
      </w:pPr>
      <w:r>
        <w:rPr>
          <w:rFonts w:asciiTheme="majorHAnsi" w:hAnsiTheme="majorHAnsi" w:cstheme="majorHAnsi"/>
        </w:rPr>
        <w:t xml:space="preserve">Para el desarrollo de este objetivo se ha definido una estructura metodológica participativa y colaborativa, dirigida a las y los funcionarios del Organismo Ejecutivo designados por cada Ministerio o dirección competente, así como a las personas designadas por el Organismo Judicial, el Organismo Legislativo y el Ministerio Público. Esta propuesta incluye igualmente la participación de las principales organizaciones de la sociedad civil que han venido acompañando el proceso de construcción de la Política. </w:t>
      </w:r>
      <w:r>
        <w:rPr>
          <w:rFonts w:asciiTheme="majorHAnsi" w:hAnsiTheme="majorHAnsi" w:cstheme="majorHAnsi"/>
        </w:rPr>
        <w:lastRenderedPageBreak/>
        <w:t>Se contempla, entre otros productos, el desarrollo de un diagnóstico apegado a la realidad institucional, mediante</w:t>
      </w:r>
      <w:r w:rsidR="0041150B">
        <w:rPr>
          <w:rFonts w:asciiTheme="majorHAnsi" w:hAnsiTheme="majorHAnsi" w:cstheme="majorHAnsi"/>
        </w:rPr>
        <w:t xml:space="preserve"> la</w:t>
      </w:r>
      <w:r>
        <w:rPr>
          <w:rFonts w:asciiTheme="majorHAnsi" w:hAnsiTheme="majorHAnsi" w:cstheme="majorHAnsi"/>
        </w:rPr>
        <w:t xml:space="preserve"> metodología FODA, que permita orientar un proceso de fortalecimiento de las capacidades institucionales para la gestión de la dependencia encargada de la protección a personas y organizaciones que requieren esquemas de seguridad eficaces y eficientes.</w:t>
      </w:r>
    </w:p>
    <w:p w:rsidRPr="000A4C96" w:rsidR="00C0695B" w:rsidP="000A4C96" w:rsidRDefault="00C0695B" w14:paraId="300E204E" w14:textId="77777777">
      <w:pPr>
        <w:pStyle w:val="Prrafodelista"/>
        <w:spacing w:line="360" w:lineRule="auto"/>
        <w:ind w:left="360"/>
        <w:jc w:val="both"/>
        <w:rPr>
          <w:rFonts w:asciiTheme="majorHAnsi" w:hAnsiTheme="majorHAnsi" w:cstheme="majorHAnsi"/>
        </w:rPr>
      </w:pPr>
    </w:p>
    <w:p w:rsidRPr="000A4C96" w:rsidR="00C0695B" w:rsidP="000A4C96" w:rsidRDefault="00C0695B" w14:paraId="28FA0C35"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La experiencia de trabajo con las organizaciones de la sociedad civil evidencia que su oportuna articulación e inclusión en estos procesos genera sinergias que incrementan la efectividad de las estrategias institucionales. Esta metodología permitirá, asimismo, involucrar a las organizaciones no gubernamentales en la construcción de las rutas de atención a víctimas desde una perspectiva integral.</w:t>
      </w:r>
    </w:p>
    <w:p w:rsidRPr="000A4C96" w:rsidR="00CE6392" w:rsidP="000A4C96" w:rsidRDefault="007B0ED9" w14:paraId="1EF027F8" w14:textId="34F170F9">
      <w:pPr>
        <w:pStyle w:val="NormalWeb"/>
        <w:spacing w:line="360" w:lineRule="auto"/>
        <w:ind w:left="360"/>
        <w:jc w:val="both"/>
        <w:rPr>
          <w:rFonts w:asciiTheme="majorHAnsi" w:hAnsiTheme="majorHAnsi" w:cstheme="majorHAnsi"/>
        </w:rPr>
      </w:pPr>
      <w:r>
        <w:rPr>
          <w:rFonts w:asciiTheme="majorHAnsi" w:hAnsiTheme="majorHAnsi" w:cstheme="majorHAnsi"/>
        </w:rPr>
        <w:t>Esta acción responde de forma directa al mandato contenido en</w:t>
      </w:r>
      <w:r w:rsidR="006F3EFB">
        <w:rPr>
          <w:rFonts w:asciiTheme="majorHAnsi" w:hAnsiTheme="majorHAnsi" w:cstheme="majorHAnsi"/>
        </w:rPr>
        <w:t xml:space="preserve"> </w:t>
      </w:r>
      <w:r>
        <w:rPr>
          <w:rFonts w:asciiTheme="majorHAnsi" w:hAnsiTheme="majorHAnsi" w:cstheme="majorHAnsi"/>
        </w:rPr>
        <w:t xml:space="preserve">la Política, el cual establece que, como paso inicial, tanto el MINGOB en su calidad de ente rector como la COPADEH en su calidad de Secretaría del Consejo Coordinador estructurarán dicho Consejo; </w:t>
      </w:r>
      <w:r w:rsidR="006F3EFB">
        <w:rPr>
          <w:rFonts w:asciiTheme="majorHAnsi" w:hAnsiTheme="majorHAnsi" w:cstheme="majorHAnsi"/>
        </w:rPr>
        <w:t>tal como establece el</w:t>
      </w:r>
      <w:r>
        <w:rPr>
          <w:rFonts w:asciiTheme="majorHAnsi" w:hAnsiTheme="majorHAnsi" w:cstheme="majorHAnsi"/>
        </w:rPr>
        <w:t xml:space="preserve"> numeral 3.3.</w:t>
      </w:r>
      <w:r w:rsidR="006F3EFB">
        <w:rPr>
          <w:rFonts w:asciiTheme="majorHAnsi" w:hAnsiTheme="majorHAnsi" w:cstheme="majorHAnsi"/>
        </w:rPr>
        <w:t>4</w:t>
      </w:r>
      <w:r>
        <w:rPr>
          <w:rFonts w:asciiTheme="majorHAnsi" w:hAnsiTheme="majorHAnsi" w:cstheme="majorHAnsi"/>
        </w:rPr>
        <w:t xml:space="preserve">.3 del mismo instrumento, que dispone que el Consejo Coordinador será deliberativo y contará con su propio reglamento. La incorporación de la comunidad defensora responde, a su vez, a la disposición de la Política relativa a la creación de un espacio específico de carácter consultivo para la participación de la comunidad defensora de derechos humanos en el seguimiento y monitoreo de la implementación. Cabe precisar que la Política, por su naturaleza de instrumento de planificación, no requiere reglamento propio: el instrumento normativo en elaboración corresponde al Consejo Coordinador que la misma Política crea. El diagnóstico institucional previsto bajo metodología FODA converge, además, con las intervenciones estratégicas No. 38 (fortalecimiento de mecanismos de protección integral con enfoque diferencial), No. 39 (formación del personal encargado de la </w:t>
      </w:r>
      <w:r>
        <w:rPr>
          <w:rFonts w:asciiTheme="majorHAnsi" w:hAnsiTheme="majorHAnsi" w:cstheme="majorHAnsi"/>
        </w:rPr>
        <w:lastRenderedPageBreak/>
        <w:t>elaboración de los análisis de riesgo) y No. 41 (diseño de la metodología de análisis de riesgo), en las cuales el Ministerio de Gobernación figura como responsable.</w:t>
      </w:r>
    </w:p>
    <w:p w:rsidRPr="000A4C96" w:rsidR="00C0695B" w:rsidP="000A4C96" w:rsidRDefault="00C0695B" w14:paraId="3DF06EF1" w14:textId="77777777">
      <w:pPr>
        <w:pStyle w:val="Prrafodelista"/>
        <w:spacing w:line="360" w:lineRule="auto"/>
        <w:ind w:left="360"/>
        <w:jc w:val="both"/>
        <w:rPr>
          <w:rFonts w:asciiTheme="majorHAnsi" w:hAnsiTheme="majorHAnsi" w:cstheme="majorHAnsi"/>
        </w:rPr>
      </w:pPr>
    </w:p>
    <w:p w:rsidRPr="000A4C96" w:rsidR="007B0ED9" w:rsidP="000A4C96" w:rsidRDefault="007B0ED9" w14:paraId="078B909B" w14:textId="77777777">
      <w:pPr>
        <w:pStyle w:val="Prrafodelista"/>
        <w:numPr>
          <w:ilvl w:val="0"/>
          <w:numId w:val="17"/>
        </w:numPr>
        <w:spacing w:after="200" w:line="360" w:lineRule="auto"/>
        <w:jc w:val="both"/>
        <w:rPr>
          <w:rFonts w:asciiTheme="majorHAnsi" w:hAnsiTheme="majorHAnsi" w:cstheme="majorHAnsi"/>
          <w:b/>
          <w:bCs/>
        </w:rPr>
      </w:pPr>
      <w:r>
        <w:rPr>
          <w:rFonts w:asciiTheme="majorHAnsi" w:hAnsiTheme="majorHAnsi" w:cstheme="majorHAnsi"/>
          <w:b/>
          <w:bCs/>
        </w:rPr>
        <w:t>Vinculación de la Política a los instrumentos de planificación institucional:</w:t>
      </w:r>
      <w:r>
        <w:rPr>
          <w:rFonts w:asciiTheme="majorHAnsi" w:hAnsiTheme="majorHAnsi" w:cstheme="majorHAnsi"/>
        </w:rPr>
        <w:t xml:space="preserve"> </w:t>
      </w:r>
    </w:p>
    <w:p w:rsidRPr="000A4C96" w:rsidR="007B0ED9" w:rsidP="000A4C96" w:rsidRDefault="007B0ED9" w14:paraId="55C90E94" w14:textId="5B05C60C">
      <w:pPr>
        <w:pStyle w:val="Prrafodelista"/>
        <w:spacing w:after="200" w:line="360" w:lineRule="auto"/>
        <w:jc w:val="both"/>
        <w:rPr>
          <w:rFonts w:asciiTheme="majorHAnsi" w:hAnsiTheme="majorHAnsi" w:cstheme="majorHAnsi"/>
          <w:b/>
          <w:bCs/>
        </w:rPr>
      </w:pPr>
      <w:r>
        <w:rPr>
          <w:rFonts w:asciiTheme="majorHAnsi" w:hAnsiTheme="majorHAnsi" w:cstheme="majorHAnsi"/>
        </w:rPr>
        <w:t>Se gestionó la incorporación de las intervenciones de la Política en el Plan Estratégico Institucional (PEI) y en el Plan Operativo Anual (POA) del MINGOB, de conformidad con el ciclo del sistema de planificación de la Secretaría de Planificación y Programación de la Presidencia (SEGEPLAN), con el propósito de dotar de viabilidad presupuestaria su ejecución.</w:t>
      </w:r>
    </w:p>
    <w:p w:rsidRPr="000A4C96" w:rsidR="007B0ED9" w:rsidP="000A4C96" w:rsidRDefault="007B0ED9" w14:paraId="68D135AE" w14:textId="77777777">
      <w:pPr>
        <w:pStyle w:val="Prrafodelista"/>
        <w:spacing w:after="200" w:line="360" w:lineRule="auto"/>
        <w:jc w:val="both"/>
        <w:rPr>
          <w:rFonts w:asciiTheme="majorHAnsi" w:hAnsiTheme="majorHAnsi" w:cstheme="majorHAnsi"/>
          <w:b/>
          <w:bCs/>
        </w:rPr>
      </w:pPr>
    </w:p>
    <w:p w:rsidRPr="000A4C96" w:rsidR="007B0ED9" w:rsidP="000A4C96" w:rsidRDefault="009175F5" w14:paraId="32AEB52B" w14:textId="77777777">
      <w:pPr>
        <w:pStyle w:val="Prrafodelista"/>
        <w:numPr>
          <w:ilvl w:val="0"/>
          <w:numId w:val="17"/>
        </w:numPr>
        <w:spacing w:after="200" w:line="360" w:lineRule="auto"/>
        <w:jc w:val="both"/>
        <w:rPr>
          <w:rFonts w:asciiTheme="majorHAnsi" w:hAnsiTheme="majorHAnsi" w:cstheme="majorHAnsi"/>
          <w:b/>
          <w:bCs/>
        </w:rPr>
      </w:pPr>
      <w:r>
        <w:rPr>
          <w:rFonts w:eastAsia="Arial" w:asciiTheme="majorHAnsi" w:hAnsiTheme="majorHAnsi" w:cstheme="majorHAnsi"/>
          <w:b/>
          <w:bCs/>
        </w:rPr>
        <w:t xml:space="preserve">Diagnóstico situacional de la División de Protección de Personas y Seguridad (DPPS) de la Policía Nacional Civil: </w:t>
      </w:r>
    </w:p>
    <w:p w:rsidRPr="000A4C96" w:rsidR="007B0ED9" w:rsidP="000A4C96" w:rsidRDefault="007B0ED9" w14:paraId="419F18D8" w14:textId="10374069">
      <w:pPr>
        <w:pStyle w:val="Prrafodelista"/>
        <w:spacing w:after="200" w:line="360" w:lineRule="auto"/>
        <w:jc w:val="both"/>
        <w:rPr>
          <w:rFonts w:asciiTheme="majorHAnsi" w:hAnsiTheme="majorHAnsi" w:cstheme="majorHAnsi"/>
          <w:b/>
          <w:bCs/>
        </w:rPr>
      </w:pPr>
      <w:r>
        <w:rPr>
          <w:rFonts w:asciiTheme="majorHAnsi" w:hAnsiTheme="majorHAnsi" w:cstheme="majorHAnsi"/>
        </w:rPr>
        <w:t xml:space="preserve">El Ministerio de Gobernación, a través de la Asesoría Específica en materia de Derechos Humanos del Despacho Ministerial, desarrolla el documento titulado: </w:t>
      </w:r>
      <w:r>
        <w:rPr>
          <w:rFonts w:asciiTheme="majorHAnsi" w:hAnsiTheme="majorHAnsi" w:cstheme="majorHAnsi"/>
          <w:i/>
          <w:iCs/>
        </w:rPr>
        <w:t>«Diagnóstico situacional de la División de Protección de Personas y Seguridad (DPPS) y su vinculación en el marco de la implementación de la Política Pública para la Protección de Personas Defensoras de Derechos Humanos (2025-2035)»</w:t>
      </w:r>
      <w:r>
        <w:rPr>
          <w:rFonts w:asciiTheme="majorHAnsi" w:hAnsiTheme="majorHAnsi" w:cstheme="majorHAnsi"/>
        </w:rPr>
        <w:t>.</w:t>
      </w:r>
    </w:p>
    <w:p w:rsidRPr="000A4C96" w:rsidR="007B0ED9" w:rsidP="000A4C96" w:rsidRDefault="007B0ED9" w14:paraId="0F88E226" w14:textId="77777777">
      <w:pPr>
        <w:pStyle w:val="Prrafodelista"/>
        <w:spacing w:line="360" w:lineRule="auto"/>
        <w:rPr>
          <w:rFonts w:eastAsia="Times New Roman" w:asciiTheme="majorHAnsi" w:hAnsiTheme="majorHAnsi" w:cstheme="majorHAnsi"/>
          <w:lang w:val="es-GT" w:eastAsia="es-GT"/>
        </w:rPr>
      </w:pPr>
    </w:p>
    <w:p w:rsidRPr="000A4C96" w:rsidR="007B0ED9" w:rsidP="000A4C96" w:rsidRDefault="007B0ED9" w14:paraId="646686B9" w14:textId="77777777">
      <w:pPr>
        <w:pStyle w:val="Prrafodelista"/>
        <w:spacing w:after="200" w:line="360" w:lineRule="auto"/>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Dicho estudio se realiza por medio de una consultoría de asistencia técnica brindada al Ministerio para el período comprendido del 1 de mayo al 31 de agosto de 2026. A la fecha de emisión del presente informe, el proceso se encuentra en su fase de diagnóstico, con el documento de avances en fase de elaboración.</w:t>
      </w:r>
    </w:p>
    <w:p w:rsidRPr="000A4C96" w:rsidR="007B0ED9" w:rsidP="000A4C96" w:rsidRDefault="007B0ED9" w14:paraId="7FB4A7E3" w14:textId="77777777">
      <w:pPr>
        <w:pStyle w:val="Prrafodelista"/>
        <w:spacing w:after="200" w:line="360" w:lineRule="auto"/>
        <w:jc w:val="both"/>
        <w:rPr>
          <w:rFonts w:eastAsia="Times New Roman" w:asciiTheme="majorHAnsi" w:hAnsiTheme="majorHAnsi" w:cstheme="majorHAnsi"/>
          <w:lang w:val="es-GT" w:eastAsia="es-GT"/>
        </w:rPr>
      </w:pPr>
    </w:p>
    <w:p w:rsidRPr="000A4C96" w:rsidR="007B0ED9" w:rsidP="000A4C96" w:rsidRDefault="007B0ED9" w14:paraId="4D6F9FFA" w14:textId="2A7C864C">
      <w:pPr>
        <w:pStyle w:val="Prrafodelista"/>
        <w:spacing w:after="200" w:line="360" w:lineRule="auto"/>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 xml:space="preserve">El estudio tiene por objeto recabar información, sistematizar y elaborar un diagnóstico sobre las capacidades operativas de la DPPS de la Policía Nacional Civil, específicamente respecto a su capacidad de respuesta para la formulación de análisis </w:t>
      </w:r>
      <w:r>
        <w:rPr>
          <w:rFonts w:eastAsia="Times New Roman" w:asciiTheme="majorHAnsi" w:hAnsiTheme="majorHAnsi" w:cstheme="majorHAnsi"/>
          <w:lang w:val="es-GT" w:eastAsia="es-GT"/>
        </w:rPr>
        <w:lastRenderedPageBreak/>
        <w:t>de riesgo y la implementación de esquemas de seguridad a favor de personas defensoras de derechos humanos. El actor clave en este proceso es el Departamento de Análisis de Riesgo a Personas de la referida División, dependencia adscrita a la Subdirección General de Operaciones (SGO), debido a su rol central en la construcción del sistema de protección integral.</w:t>
      </w:r>
    </w:p>
    <w:p w:rsidRPr="000A4C96" w:rsidR="007B0ED9" w:rsidP="000A4C96" w:rsidRDefault="007B0ED9" w14:paraId="4A8D897B" w14:textId="77777777">
      <w:pPr>
        <w:pStyle w:val="Prrafodelista"/>
        <w:spacing w:after="200" w:line="360" w:lineRule="auto"/>
        <w:jc w:val="both"/>
        <w:rPr>
          <w:rFonts w:eastAsia="Times New Roman" w:asciiTheme="majorHAnsi" w:hAnsiTheme="majorHAnsi" w:cstheme="majorHAnsi"/>
          <w:lang w:val="es-GT" w:eastAsia="es-GT"/>
        </w:rPr>
      </w:pPr>
    </w:p>
    <w:p w:rsidRPr="000A4C96" w:rsidR="007B0ED9" w:rsidP="000A4C96" w:rsidRDefault="007B0ED9" w14:paraId="14272E0E" w14:textId="77777777">
      <w:pPr>
        <w:pStyle w:val="Prrafodelista"/>
        <w:spacing w:after="200" w:line="360" w:lineRule="auto"/>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Esta acción responde directamente a la problemática institucional identificada en la propia Política, la cual reconoce que las medidas de protección otorgadas actualmente poseen un enfoque netamente policial y carecen de especificidad para los defensores de derechos humanos. La valoración institucional que sustenta el diagnóstico plantea que la DPPS podría constituir la «puerta de ingreso» al sistema de protección integral previsto en el Eje 2 de la Política (</w:t>
      </w:r>
      <w:r>
        <w:rPr>
          <w:rFonts w:eastAsia="Times New Roman" w:asciiTheme="majorHAnsi" w:hAnsiTheme="majorHAnsi" w:cstheme="majorHAnsi"/>
          <w:i/>
          <w:iCs/>
          <w:lang w:val="es-GT" w:eastAsia="es-GT"/>
        </w:rPr>
        <w:t>Crear e implementar un sistema de protección integral para PDDH</w:t>
      </w:r>
      <w:r>
        <w:rPr>
          <w:rFonts w:eastAsia="Times New Roman" w:asciiTheme="majorHAnsi" w:hAnsiTheme="majorHAnsi" w:cstheme="majorHAnsi"/>
          <w:lang w:val="es-GT" w:eastAsia="es-GT"/>
        </w:rPr>
        <w:t>). Por lo tanto, este diagnóstico contribuye de forma directa al cumplimiento de las intervenciones estratégicas No. 38 (fortalecimiento de mecanismos de protección integral con enfoque diferencial) y No. 39 (formación del personal encargado de la elaboración de los análisis de riesgo), ambas bajo la responsabilidad del Ministerio de Gobernación.</w:t>
      </w:r>
    </w:p>
    <w:p w:rsidRPr="000A4C96" w:rsidR="007B0ED9" w:rsidP="000A4C96" w:rsidRDefault="007B0ED9" w14:paraId="32EB46D7" w14:textId="77777777">
      <w:pPr>
        <w:pStyle w:val="Prrafodelista"/>
        <w:spacing w:after="200" w:line="360" w:lineRule="auto"/>
        <w:jc w:val="both"/>
        <w:rPr>
          <w:rFonts w:eastAsia="Times New Roman" w:asciiTheme="majorHAnsi" w:hAnsiTheme="majorHAnsi" w:cstheme="majorHAnsi"/>
          <w:lang w:val="es-GT" w:eastAsia="es-GT"/>
        </w:rPr>
      </w:pPr>
    </w:p>
    <w:p w:rsidRPr="000A4C96" w:rsidR="007B0ED9" w:rsidP="000A4C96" w:rsidRDefault="007B0ED9" w14:paraId="03A1BF80" w14:textId="3E1E7E97">
      <w:pPr>
        <w:pStyle w:val="Prrafodelista"/>
        <w:spacing w:after="200" w:line="360" w:lineRule="auto"/>
        <w:jc w:val="both"/>
        <w:rPr>
          <w:rFonts w:asciiTheme="majorHAnsi" w:hAnsiTheme="majorHAnsi" w:cstheme="majorHAnsi"/>
          <w:b/>
          <w:bCs/>
        </w:rPr>
      </w:pPr>
      <w:r>
        <w:rPr>
          <w:rFonts w:eastAsia="Times New Roman" w:asciiTheme="majorHAnsi" w:hAnsiTheme="majorHAnsi" w:cstheme="majorHAnsi"/>
          <w:lang w:val="es-GT" w:eastAsia="es-GT"/>
        </w:rPr>
        <w:t>Cabe resaltar que este diagnóstico constituye una acción institucional de carácter preparatorio. Si bien la Política no lo contempla explícitamente como una intervención estratégica, esta cartera lo considera un paso fundamental e indispensable para viabilizar el sistema de protección integral del Eje Estratégico No. 2.</w:t>
      </w:r>
    </w:p>
    <w:p w:rsidRPr="000A4C96" w:rsidR="001272E5" w:rsidP="000A4C96" w:rsidRDefault="001272E5" w14:paraId="3DF6CEFC" w14:textId="6F3C3DEE">
      <w:pPr>
        <w:pStyle w:val="Prrafodelista"/>
        <w:spacing w:line="360" w:lineRule="auto"/>
        <w:jc w:val="both"/>
        <w:rPr>
          <w:rFonts w:eastAsia="Arial" w:asciiTheme="majorHAnsi" w:hAnsiTheme="majorHAnsi" w:cstheme="majorHAnsi"/>
        </w:rPr>
      </w:pPr>
    </w:p>
    <w:p w:rsidRPr="000A4C96" w:rsidR="007B0ED9" w:rsidP="000A4C96" w:rsidRDefault="004F0AA1" w14:paraId="2091422E" w14:textId="77777777">
      <w:pPr>
        <w:pStyle w:val="Prrafodelista"/>
        <w:numPr>
          <w:ilvl w:val="0"/>
          <w:numId w:val="7"/>
        </w:numPr>
        <w:spacing w:line="360" w:lineRule="auto"/>
        <w:jc w:val="both"/>
        <w:rPr>
          <w:rFonts w:asciiTheme="majorHAnsi" w:hAnsiTheme="majorHAnsi" w:cstheme="majorHAnsi"/>
        </w:rPr>
      </w:pPr>
      <w:r>
        <w:rPr>
          <w:rFonts w:eastAsia="Arial" w:asciiTheme="majorHAnsi" w:hAnsiTheme="majorHAnsi" w:cstheme="majorHAnsi"/>
          <w:b/>
          <w:bCs/>
        </w:rPr>
        <w:t>Instalación de la mesa interinstitucional para la actualización de la malla curricular de la PNC:</w:t>
      </w:r>
    </w:p>
    <w:p w:rsidRPr="000A4C96" w:rsidR="007B0ED9" w:rsidP="000A4C96" w:rsidRDefault="007B0ED9" w14:paraId="3503B7D0"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lastRenderedPageBreak/>
        <w:t>Durante el año 2026, se conformó e instaló una mesa interinstitucional con el objetivo de actualizar la malla curricular de la Policía Nacional Civil (PNC). Este esfuerzo busca incorporar en la formación de las y los agentes policiales el tema del derecho a defender los derechos humanos y el rol fundamental que desempeñan las personas defensoras en una sociedad democrática. La mesa está integrada por las siguientes instituciones y dependencias:</w:t>
      </w:r>
    </w:p>
    <w:p w:rsidRPr="000A4C96" w:rsidR="007B0ED9" w:rsidP="000A4C96" w:rsidRDefault="007B0ED9" w14:paraId="6A2DA18D" w14:textId="77777777">
      <w:pPr>
        <w:pStyle w:val="Prrafodelista"/>
        <w:numPr>
          <w:ilvl w:val="0"/>
          <w:numId w:val="19"/>
        </w:numPr>
        <w:spacing w:line="360" w:lineRule="auto"/>
        <w:jc w:val="both"/>
        <w:rPr>
          <w:rFonts w:asciiTheme="majorHAnsi" w:hAnsiTheme="majorHAnsi" w:cstheme="majorHAnsi"/>
        </w:rPr>
      </w:pPr>
      <w:r>
        <w:rPr>
          <w:rFonts w:asciiTheme="majorHAnsi" w:hAnsiTheme="majorHAnsi" w:cstheme="majorHAnsi"/>
        </w:rPr>
        <w:t>Ministerio de Gobernación (MINGOB), en su calidad de ente rector de la Política.</w:t>
      </w:r>
    </w:p>
    <w:p w:rsidRPr="000A4C96" w:rsidR="007B0ED9" w:rsidP="000A4C96" w:rsidRDefault="007B0ED9" w14:paraId="47B738AB" w14:textId="77777777">
      <w:pPr>
        <w:pStyle w:val="Prrafodelista"/>
        <w:numPr>
          <w:ilvl w:val="0"/>
          <w:numId w:val="19"/>
        </w:numPr>
        <w:spacing w:line="360" w:lineRule="auto"/>
        <w:jc w:val="both"/>
        <w:rPr>
          <w:rFonts w:asciiTheme="majorHAnsi" w:hAnsiTheme="majorHAnsi" w:cstheme="majorHAnsi"/>
        </w:rPr>
      </w:pPr>
      <w:r>
        <w:rPr>
          <w:rFonts w:asciiTheme="majorHAnsi" w:hAnsiTheme="majorHAnsi" w:cstheme="majorHAnsi"/>
        </w:rPr>
        <w:t>Comisión Presidencial por la Paz y los Derechos Humanos (COPADEH), en su rol de Secretaría del Consejo Coordinador.</w:t>
      </w:r>
    </w:p>
    <w:p w:rsidRPr="000A4C96" w:rsidR="007B0ED9" w:rsidP="000A4C96" w:rsidRDefault="007B0ED9" w14:paraId="160DEB92" w14:textId="090CB638">
      <w:pPr>
        <w:pStyle w:val="Prrafodelista"/>
        <w:numPr>
          <w:ilvl w:val="0"/>
          <w:numId w:val="19"/>
        </w:numPr>
        <w:spacing w:line="360" w:lineRule="auto"/>
        <w:jc w:val="both"/>
        <w:rPr>
          <w:rFonts w:asciiTheme="majorHAnsi" w:hAnsiTheme="majorHAnsi" w:cstheme="majorHAnsi"/>
        </w:rPr>
      </w:pPr>
      <w:r>
        <w:rPr>
          <w:rFonts w:asciiTheme="majorHAnsi" w:hAnsiTheme="majorHAnsi" w:cstheme="majorHAnsi"/>
        </w:rPr>
        <w:t>Policía Nacional Civil (PNC), a través de la Subdirección General de Estudios y Doctrina, así como la Dirección Adjunta.</w:t>
      </w:r>
    </w:p>
    <w:p w:rsidRPr="000A4C96" w:rsidR="00CE6392" w:rsidP="000A4C96" w:rsidRDefault="007B0ED9" w14:paraId="4BDCE55F" w14:textId="77777777">
      <w:pPr>
        <w:pStyle w:val="NormalWeb"/>
        <w:spacing w:line="360" w:lineRule="auto"/>
        <w:ind w:left="360"/>
        <w:jc w:val="both"/>
        <w:rPr>
          <w:rFonts w:asciiTheme="majorHAnsi" w:hAnsiTheme="majorHAnsi" w:cstheme="majorHAnsi"/>
        </w:rPr>
      </w:pPr>
      <w:r>
        <w:rPr>
          <w:rFonts w:asciiTheme="majorHAnsi" w:hAnsiTheme="majorHAnsi" w:cstheme="majorHAnsi"/>
        </w:rPr>
        <w:t>Esta actividad operativiza la intervención estratégica No. 1 (</w:t>
      </w:r>
      <w:r>
        <w:rPr>
          <w:rFonts w:asciiTheme="majorHAnsi" w:hAnsiTheme="majorHAnsi" w:cstheme="majorHAnsi"/>
          <w:i/>
          <w:iCs/>
        </w:rPr>
        <w:t>Implementar mecanismos de trabajo conjunto entre MINGOB, COPADEH e instituciones públicas para la integración del tema del derecho a defender derechos humanos en sus respectivos currículos de programas formativos</w:t>
      </w:r>
      <w:r>
        <w:rPr>
          <w:rFonts w:asciiTheme="majorHAnsi" w:hAnsiTheme="majorHAnsi" w:cstheme="majorHAnsi"/>
        </w:rPr>
        <w:t>), cuyo período de ejecución inicia a partir del año 1 y en la cual el MINGOB figura como responsable y la PNC (Subdirección General de Estudios y Doctrina) como corresponsable. Asimismo, esta acción sienta las bases para el cumplimiento de la intervención estratégica No. 2, enfocada en la integración formal de dicha temática en el currículo de cada institución pública involucrada.</w:t>
      </w:r>
    </w:p>
    <w:p w:rsidRPr="000A4C96" w:rsidR="007B0ED9" w:rsidP="000A4C96" w:rsidRDefault="001C72CE" w14:paraId="7157240C" w14:textId="77777777">
      <w:pPr>
        <w:pStyle w:val="Prrafodelista"/>
        <w:numPr>
          <w:ilvl w:val="0"/>
          <w:numId w:val="7"/>
        </w:numPr>
        <w:spacing w:line="360" w:lineRule="auto"/>
        <w:rPr>
          <w:rFonts w:asciiTheme="majorHAnsi" w:hAnsiTheme="majorHAnsi" w:cstheme="majorHAnsi"/>
        </w:rPr>
      </w:pPr>
      <w:r>
        <w:rPr>
          <w:rFonts w:eastAsia="Arial" w:asciiTheme="majorHAnsi" w:hAnsiTheme="majorHAnsi" w:cstheme="majorHAnsi"/>
          <w:b/>
          <w:bCs/>
        </w:rPr>
        <w:t>Jornadas de capacitación sobre la Política:</w:t>
      </w:r>
    </w:p>
    <w:p w:rsidRPr="000A4C96" w:rsidR="007B0ED9" w:rsidP="000A4C96" w:rsidRDefault="007B0ED9" w14:paraId="2A9A63E8" w14:textId="77777777">
      <w:pPr>
        <w:pStyle w:val="Prrafodelista"/>
        <w:spacing w:line="360" w:lineRule="auto"/>
        <w:ind w:left="360"/>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El Ministerio de Gobernación ha impulsado y desarrollado diversos procesos de formación y socialización sobre la Política, dirigidos de forma prioritaria a las instituciones y dependencias clave para su implementación:</w:t>
      </w:r>
    </w:p>
    <w:p w:rsidRPr="000A4C96" w:rsidR="007B0ED9" w:rsidP="000A4C96" w:rsidRDefault="007B0ED9" w14:paraId="603F9832" w14:textId="77777777">
      <w:pPr>
        <w:pStyle w:val="Prrafodelista"/>
        <w:numPr>
          <w:ilvl w:val="0"/>
          <w:numId w:val="21"/>
        </w:numPr>
        <w:spacing w:line="360" w:lineRule="auto"/>
        <w:rPr>
          <w:rFonts w:asciiTheme="majorHAnsi" w:hAnsiTheme="majorHAnsi" w:cstheme="majorHAnsi"/>
        </w:rPr>
      </w:pPr>
      <w:r>
        <w:rPr>
          <w:rFonts w:eastAsia="Times New Roman" w:asciiTheme="majorHAnsi" w:hAnsiTheme="majorHAnsi" w:cstheme="majorHAnsi"/>
          <w:b/>
          <w:bCs/>
          <w:lang w:val="es-GT" w:eastAsia="es-GT"/>
        </w:rPr>
        <w:t>Diciembre de 2025:</w:t>
      </w:r>
      <w:r>
        <w:rPr>
          <w:rFonts w:eastAsia="Times New Roman" w:asciiTheme="majorHAnsi" w:hAnsiTheme="majorHAnsi" w:cstheme="majorHAnsi"/>
          <w:lang w:val="es-GT" w:eastAsia="es-GT"/>
        </w:rPr>
        <w:t xml:space="preserve"> Desarrollo de una jornada de capacitación sobre la Política dirigida al personal de la COPADEH, en su calidad de Secretaría del Consejo Coordinador.</w:t>
      </w:r>
    </w:p>
    <w:p w:rsidRPr="000A4C96" w:rsidR="007B0ED9" w:rsidP="000A4C96" w:rsidRDefault="007B0ED9" w14:paraId="5D2BDC5C" w14:textId="77777777">
      <w:pPr>
        <w:pStyle w:val="Prrafodelista"/>
        <w:numPr>
          <w:ilvl w:val="0"/>
          <w:numId w:val="21"/>
        </w:numPr>
        <w:spacing w:line="360" w:lineRule="auto"/>
        <w:rPr>
          <w:rFonts w:asciiTheme="majorHAnsi" w:hAnsiTheme="majorHAnsi" w:cstheme="majorHAnsi"/>
        </w:rPr>
      </w:pPr>
      <w:r>
        <w:rPr>
          <w:rFonts w:eastAsia="Times New Roman" w:asciiTheme="majorHAnsi" w:hAnsiTheme="majorHAnsi" w:cstheme="majorHAnsi"/>
          <w:b/>
          <w:bCs/>
          <w:lang w:val="es-GT" w:eastAsia="es-GT"/>
        </w:rPr>
        <w:lastRenderedPageBreak/>
        <w:t>Jornadas conjuntas MINGOB–COPADEH:</w:t>
      </w:r>
      <w:r>
        <w:rPr>
          <w:rFonts w:eastAsia="Times New Roman" w:asciiTheme="majorHAnsi" w:hAnsiTheme="majorHAnsi" w:cstheme="majorHAnsi"/>
          <w:lang w:val="es-GT" w:eastAsia="es-GT"/>
        </w:rPr>
        <w:t xml:space="preserve"> Procesos formativos dirigidos al personal de la Subdirector General de Estudios y Doctrina, así como a dependencias estratégicas de la Subdirección General de Operaciones (SGO) de la PNC.</w:t>
      </w:r>
    </w:p>
    <w:p w:rsidRPr="000A4C96" w:rsidR="007B0ED9" w:rsidP="000A4C96" w:rsidRDefault="007B0ED9" w14:paraId="68761692" w14:textId="5F65BDB6">
      <w:pPr>
        <w:pStyle w:val="Prrafodelista"/>
        <w:numPr>
          <w:ilvl w:val="0"/>
          <w:numId w:val="21"/>
        </w:numPr>
        <w:spacing w:line="360" w:lineRule="auto"/>
        <w:rPr>
          <w:rFonts w:asciiTheme="majorHAnsi" w:hAnsiTheme="majorHAnsi" w:cstheme="majorHAnsi"/>
        </w:rPr>
      </w:pPr>
      <w:r>
        <w:rPr>
          <w:rFonts w:eastAsia="Times New Roman" w:asciiTheme="majorHAnsi" w:hAnsiTheme="majorHAnsi" w:cstheme="majorHAnsi"/>
          <w:b/>
          <w:bCs/>
          <w:lang w:val="es-GT" w:eastAsia="es-GT"/>
        </w:rPr>
        <w:t>Talleres de socialización regional/sectorial:</w:t>
      </w:r>
      <w:r>
        <w:rPr>
          <w:rFonts w:eastAsia="Times New Roman" w:asciiTheme="majorHAnsi" w:hAnsiTheme="majorHAnsi" w:cstheme="majorHAnsi"/>
          <w:lang w:val="es-GT" w:eastAsia="es-GT"/>
        </w:rPr>
        <w:t xml:space="preserve"> En el marco de la implementación conjunta, se han coordinado y ejecutado talleres de socialización de la Política con la participación activa de diversos actores institucionales bajo el liderazgo metodológico del Ministerio de Gobernación.</w:t>
      </w:r>
    </w:p>
    <w:p w:rsidRPr="000A4C96" w:rsidR="00AA5B05" w:rsidP="000A4C96" w:rsidRDefault="007B0ED9" w14:paraId="7BC5D29C" w14:textId="264C5C26">
      <w:pPr>
        <w:spacing w:before="100" w:beforeAutospacing="1" w:after="100" w:afterAutospacing="1" w:line="360" w:lineRule="auto"/>
        <w:ind w:left="360"/>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El siguiente cuadro resume las jornadas formativas realizadas a la fecha, las cuales se encuentran debidamente documentadas mediante los listados de asistencia que se adjuntan como anexos al presente informe:</w:t>
      </w:r>
    </w:p>
    <w:tbl>
      <w:tblPr>
        <w:tblStyle w:val="Tablaconcuadrcula1clara-nfasis1"/>
        <w:tblW w:w="8926" w:type="dxa"/>
        <w:tblLook w:val="04A0" w:firstRow="1" w:lastRow="0" w:firstColumn="1" w:lastColumn="0" w:noHBand="0" w:noVBand="1"/>
      </w:tblPr>
      <w:tblGrid>
        <w:gridCol w:w="1397"/>
        <w:gridCol w:w="1845"/>
        <w:gridCol w:w="2143"/>
        <w:gridCol w:w="1896"/>
        <w:gridCol w:w="1645"/>
      </w:tblGrid>
      <w:tr w:rsidRPr="000A4C96" w:rsidR="00DC74D3" w:rsidTr="007B0ED9" w14:paraId="682446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dxa"/>
            <w:shd w:val="clear" w:color="auto" w:fill="DEEAF6" w:themeFill="accent5" w:themeFillTint="33"/>
          </w:tcPr>
          <w:p w:rsidRPr="000A4C96" w:rsidR="00DC74D3" w:rsidP="000A4C96" w:rsidRDefault="00DC74D3" w14:paraId="2D9B9546" w14:textId="77777777">
            <w:pPr>
              <w:spacing w:line="360" w:lineRule="auto"/>
              <w:rPr>
                <w:rFonts w:asciiTheme="majorHAnsi" w:hAnsiTheme="majorHAnsi" w:cstheme="majorHAnsi"/>
              </w:rPr>
            </w:pPr>
            <w:r>
              <w:rPr>
                <w:rFonts w:eastAsia="Arial" w:asciiTheme="majorHAnsi" w:hAnsiTheme="majorHAnsi" w:cstheme="majorHAnsi"/>
              </w:rPr>
              <w:t>Fecha</w:t>
            </w:r>
          </w:p>
        </w:tc>
        <w:tc>
          <w:tcPr>
            <w:tcW w:w="1845" w:type="dxa"/>
            <w:shd w:val="clear" w:color="auto" w:fill="DEEAF6" w:themeFill="accent5" w:themeFillTint="33"/>
          </w:tcPr>
          <w:p w:rsidRPr="000A4C96" w:rsidR="00DC74D3" w:rsidP="000A4C96" w:rsidRDefault="00DC74D3" w14:paraId="44BA76D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Actividad</w:t>
            </w:r>
          </w:p>
        </w:tc>
        <w:tc>
          <w:tcPr>
            <w:tcW w:w="2143" w:type="dxa"/>
            <w:shd w:val="clear" w:color="auto" w:fill="DEEAF6" w:themeFill="accent5" w:themeFillTint="33"/>
          </w:tcPr>
          <w:p w:rsidRPr="000A4C96" w:rsidR="00DC74D3" w:rsidP="000A4C96" w:rsidRDefault="00DC74D3" w14:paraId="406E233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Lugar</w:t>
            </w:r>
          </w:p>
        </w:tc>
        <w:tc>
          <w:tcPr>
            <w:tcW w:w="1896" w:type="dxa"/>
            <w:shd w:val="clear" w:color="auto" w:fill="DEEAF6" w:themeFill="accent5" w:themeFillTint="33"/>
          </w:tcPr>
          <w:p w:rsidRPr="000A4C96" w:rsidR="00DC74D3" w:rsidP="000A4C96" w:rsidRDefault="00DC74D3" w14:paraId="5C491020"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Público destinatario</w:t>
            </w:r>
          </w:p>
        </w:tc>
        <w:tc>
          <w:tcPr>
            <w:tcW w:w="1645" w:type="dxa"/>
            <w:shd w:val="clear" w:color="auto" w:fill="DEEAF6" w:themeFill="accent5" w:themeFillTint="33"/>
          </w:tcPr>
          <w:p w:rsidRPr="000A4C96" w:rsidR="00DC74D3" w:rsidP="000A4C96" w:rsidRDefault="00DC74D3" w14:paraId="79FC891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Participantes*</w:t>
            </w:r>
          </w:p>
        </w:tc>
      </w:tr>
      <w:tr w:rsidRPr="000A4C96" w:rsidR="00DC74D3" w:rsidTr="007B0ED9" w14:paraId="60708305" w14:textId="77777777">
        <w:tc>
          <w:tcPr>
            <w:cnfStyle w:val="001000000000" w:firstRow="0" w:lastRow="0" w:firstColumn="1" w:lastColumn="0" w:oddVBand="0" w:evenVBand="0" w:oddHBand="0" w:evenHBand="0" w:firstRowFirstColumn="0" w:firstRowLastColumn="0" w:lastRowFirstColumn="0" w:lastRowLastColumn="0"/>
            <w:tcW w:w="1397" w:type="dxa"/>
          </w:tcPr>
          <w:p w:rsidRPr="000A4C96" w:rsidR="00DC74D3" w:rsidP="000A4C96" w:rsidRDefault="00DC74D3" w14:paraId="529F01A9" w14:textId="77777777">
            <w:pPr>
              <w:spacing w:line="360" w:lineRule="auto"/>
              <w:jc w:val="center"/>
              <w:rPr>
                <w:rFonts w:asciiTheme="majorHAnsi" w:hAnsiTheme="majorHAnsi" w:cstheme="majorHAnsi"/>
              </w:rPr>
            </w:pPr>
            <w:r>
              <w:rPr>
                <w:rFonts w:eastAsia="Arial" w:asciiTheme="majorHAnsi" w:hAnsiTheme="majorHAnsi" w:cstheme="majorHAnsi"/>
              </w:rPr>
              <w:t>11/03/2026</w:t>
            </w:r>
          </w:p>
        </w:tc>
        <w:tc>
          <w:tcPr>
            <w:tcW w:w="1845" w:type="dxa"/>
          </w:tcPr>
          <w:p w:rsidRPr="000A4C96" w:rsidR="00DC74D3" w:rsidP="000A4C96" w:rsidRDefault="00DC74D3" w14:paraId="390F940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Taller de socialización de la PPPDDH</w:t>
            </w:r>
          </w:p>
        </w:tc>
        <w:tc>
          <w:tcPr>
            <w:tcW w:w="2143" w:type="dxa"/>
          </w:tcPr>
          <w:p w:rsidRPr="000A4C96" w:rsidR="00DC74D3" w:rsidP="000A4C96" w:rsidRDefault="00DC74D3" w14:paraId="25AF808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10 calle 13-92 zona 1, Ciudad de Guatemala</w:t>
            </w:r>
          </w:p>
        </w:tc>
        <w:tc>
          <w:tcPr>
            <w:tcW w:w="1896" w:type="dxa"/>
          </w:tcPr>
          <w:p w:rsidRPr="000A4C96" w:rsidR="00DC74D3" w:rsidP="000A4C96" w:rsidRDefault="00DC74D3" w14:paraId="58E291A9"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Personal del MINGOB y de la PNC</w:t>
            </w:r>
          </w:p>
        </w:tc>
        <w:tc>
          <w:tcPr>
            <w:tcW w:w="1645" w:type="dxa"/>
          </w:tcPr>
          <w:p w:rsidRPr="000A4C96" w:rsidR="00DC74D3" w:rsidP="000A4C96" w:rsidRDefault="00DC74D3" w14:paraId="06FAD957"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27</w:t>
            </w:r>
          </w:p>
        </w:tc>
      </w:tr>
      <w:tr w:rsidRPr="000A4C96" w:rsidR="00DC74D3" w:rsidTr="007B0ED9" w14:paraId="7969C702" w14:textId="77777777">
        <w:tc>
          <w:tcPr>
            <w:cnfStyle w:val="001000000000" w:firstRow="0" w:lastRow="0" w:firstColumn="1" w:lastColumn="0" w:oddVBand="0" w:evenVBand="0" w:oddHBand="0" w:evenHBand="0" w:firstRowFirstColumn="0" w:firstRowLastColumn="0" w:lastRowFirstColumn="0" w:lastRowLastColumn="0"/>
            <w:tcW w:w="1397" w:type="dxa"/>
          </w:tcPr>
          <w:p w:rsidRPr="000A4C96" w:rsidR="00DC74D3" w:rsidP="000A4C96" w:rsidRDefault="00DC74D3" w14:paraId="575F3B4B" w14:textId="77777777">
            <w:pPr>
              <w:spacing w:line="360" w:lineRule="auto"/>
              <w:jc w:val="center"/>
              <w:rPr>
                <w:rFonts w:asciiTheme="majorHAnsi" w:hAnsiTheme="majorHAnsi" w:cstheme="majorHAnsi"/>
              </w:rPr>
            </w:pPr>
            <w:r>
              <w:rPr>
                <w:rFonts w:eastAsia="Arial" w:asciiTheme="majorHAnsi" w:hAnsiTheme="majorHAnsi" w:cstheme="majorHAnsi"/>
              </w:rPr>
              <w:t>26/03/2026</w:t>
            </w:r>
          </w:p>
        </w:tc>
        <w:tc>
          <w:tcPr>
            <w:tcW w:w="1845" w:type="dxa"/>
          </w:tcPr>
          <w:p w:rsidRPr="000A4C96" w:rsidR="00DC74D3" w:rsidP="000A4C96" w:rsidRDefault="00DC74D3" w14:paraId="7B729C5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Taller de socialización de la PPPDDH</w:t>
            </w:r>
          </w:p>
        </w:tc>
        <w:tc>
          <w:tcPr>
            <w:tcW w:w="2143" w:type="dxa"/>
          </w:tcPr>
          <w:p w:rsidRPr="000A4C96" w:rsidR="00DC74D3" w:rsidP="000A4C96" w:rsidRDefault="00DC74D3" w14:paraId="76E48540"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10 calle 13-92 zona 1, Ciudad de Guatemala</w:t>
            </w:r>
          </w:p>
        </w:tc>
        <w:tc>
          <w:tcPr>
            <w:tcW w:w="1896" w:type="dxa"/>
          </w:tcPr>
          <w:p w:rsidRPr="000A4C96" w:rsidR="00DC74D3" w:rsidP="000A4C96" w:rsidRDefault="00DC74D3" w14:paraId="37D8EBC0"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Personal del MINGOB y de la PNC</w:t>
            </w:r>
          </w:p>
        </w:tc>
        <w:tc>
          <w:tcPr>
            <w:tcW w:w="1645" w:type="dxa"/>
          </w:tcPr>
          <w:p w:rsidRPr="000A4C96" w:rsidR="00DC74D3" w:rsidP="000A4C96" w:rsidRDefault="00DC74D3" w14:paraId="17D8F633"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64</w:t>
            </w:r>
          </w:p>
        </w:tc>
      </w:tr>
      <w:tr w:rsidRPr="000A4C96" w:rsidR="00DC74D3" w:rsidTr="007B0ED9" w14:paraId="6F92D8EC" w14:textId="77777777">
        <w:tc>
          <w:tcPr>
            <w:cnfStyle w:val="001000000000" w:firstRow="0" w:lastRow="0" w:firstColumn="1" w:lastColumn="0" w:oddVBand="0" w:evenVBand="0" w:oddHBand="0" w:evenHBand="0" w:firstRowFirstColumn="0" w:firstRowLastColumn="0" w:lastRowFirstColumn="0" w:lastRowLastColumn="0"/>
            <w:tcW w:w="1397" w:type="dxa"/>
          </w:tcPr>
          <w:p w:rsidRPr="000A4C96" w:rsidR="00DC74D3" w:rsidP="000A4C96" w:rsidRDefault="00DC74D3" w14:paraId="6A0498AD" w14:textId="77777777">
            <w:pPr>
              <w:spacing w:line="360" w:lineRule="auto"/>
              <w:jc w:val="center"/>
              <w:rPr>
                <w:rFonts w:asciiTheme="majorHAnsi" w:hAnsiTheme="majorHAnsi" w:cstheme="majorHAnsi"/>
              </w:rPr>
            </w:pPr>
            <w:r>
              <w:rPr>
                <w:rFonts w:eastAsia="Arial" w:asciiTheme="majorHAnsi" w:hAnsiTheme="majorHAnsi" w:cstheme="majorHAnsi"/>
              </w:rPr>
              <w:t>29/04/2026</w:t>
            </w:r>
          </w:p>
        </w:tc>
        <w:tc>
          <w:tcPr>
            <w:tcW w:w="1845" w:type="dxa"/>
          </w:tcPr>
          <w:p w:rsidRPr="000A4C96" w:rsidR="00DC74D3" w:rsidP="000A4C96" w:rsidRDefault="00DC74D3" w14:paraId="4D6215EA"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Taller de socialización de la PPPDDH</w:t>
            </w:r>
          </w:p>
        </w:tc>
        <w:tc>
          <w:tcPr>
            <w:tcW w:w="2143" w:type="dxa"/>
          </w:tcPr>
          <w:p w:rsidRPr="000A4C96" w:rsidR="00DC74D3" w:rsidP="000A4C96" w:rsidRDefault="00DC74D3" w14:paraId="46EF8F8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Hotel Conquistador, Vía 5 4-68 zona 4, Guatemala</w:t>
            </w:r>
          </w:p>
        </w:tc>
        <w:tc>
          <w:tcPr>
            <w:tcW w:w="1896" w:type="dxa"/>
          </w:tcPr>
          <w:p w:rsidRPr="000A4C96" w:rsidR="00DC74D3" w:rsidP="000A4C96" w:rsidRDefault="00DC74D3" w14:paraId="6F61AF2A"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MINGOB, COPADEH, PDH, OACNUDH y organizaciones de la sociedad civil</w:t>
            </w:r>
          </w:p>
        </w:tc>
        <w:tc>
          <w:tcPr>
            <w:tcW w:w="1645" w:type="dxa"/>
          </w:tcPr>
          <w:p w:rsidRPr="000A4C96" w:rsidR="00DC74D3" w:rsidP="000A4C96" w:rsidRDefault="00876019" w14:paraId="1189D3E6" w14:textId="64A1CA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60</w:t>
            </w:r>
          </w:p>
        </w:tc>
      </w:tr>
      <w:tr w:rsidRPr="000A4C96" w:rsidR="00DC74D3" w:rsidTr="007B0ED9" w14:paraId="25FB182E" w14:textId="77777777">
        <w:tc>
          <w:tcPr>
            <w:cnfStyle w:val="001000000000" w:firstRow="0" w:lastRow="0" w:firstColumn="1" w:lastColumn="0" w:oddVBand="0" w:evenVBand="0" w:oddHBand="0" w:evenHBand="0" w:firstRowFirstColumn="0" w:firstRowLastColumn="0" w:lastRowFirstColumn="0" w:lastRowLastColumn="0"/>
            <w:tcW w:w="1397" w:type="dxa"/>
          </w:tcPr>
          <w:p w:rsidRPr="000A4C96" w:rsidR="00DC74D3" w:rsidP="000A4C96" w:rsidRDefault="00DC74D3" w14:paraId="6F98C2AD" w14:textId="77777777">
            <w:pPr>
              <w:spacing w:line="360" w:lineRule="auto"/>
              <w:jc w:val="center"/>
              <w:rPr>
                <w:rFonts w:asciiTheme="majorHAnsi" w:hAnsiTheme="majorHAnsi" w:cstheme="majorHAnsi"/>
              </w:rPr>
            </w:pPr>
            <w:r>
              <w:rPr>
                <w:rFonts w:eastAsia="Arial" w:asciiTheme="majorHAnsi" w:hAnsiTheme="majorHAnsi" w:cstheme="majorHAnsi"/>
              </w:rPr>
              <w:lastRenderedPageBreak/>
              <w:t>30/04/2026</w:t>
            </w:r>
          </w:p>
        </w:tc>
        <w:tc>
          <w:tcPr>
            <w:tcW w:w="1845" w:type="dxa"/>
          </w:tcPr>
          <w:p w:rsidRPr="000A4C96" w:rsidR="00DC74D3" w:rsidP="000A4C96" w:rsidRDefault="00DC74D3" w14:paraId="52716B3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Taller de socialización de la PPPDDH</w:t>
            </w:r>
          </w:p>
        </w:tc>
        <w:tc>
          <w:tcPr>
            <w:tcW w:w="2143" w:type="dxa"/>
          </w:tcPr>
          <w:p w:rsidRPr="000A4C96" w:rsidR="00DC74D3" w:rsidP="000A4C96" w:rsidRDefault="00DC74D3" w14:paraId="642C283A"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MINGOB, 6a Avenida 13-71 zona 1, Guatemala</w:t>
            </w:r>
          </w:p>
        </w:tc>
        <w:tc>
          <w:tcPr>
            <w:tcW w:w="1896" w:type="dxa"/>
          </w:tcPr>
          <w:p w:rsidRPr="000A4C96" w:rsidR="00DC74D3" w:rsidP="000A4C96" w:rsidRDefault="00DC74D3" w14:paraId="0D1018D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Instituciones públicas (ministerios, PNC, Sistema Penitenciario, entre otras), MINGOB y COPADEH</w:t>
            </w:r>
          </w:p>
        </w:tc>
        <w:tc>
          <w:tcPr>
            <w:tcW w:w="1645" w:type="dxa"/>
          </w:tcPr>
          <w:p w:rsidRPr="000A4C96" w:rsidR="00DC74D3" w:rsidP="000A4C96" w:rsidRDefault="005D025A" w14:paraId="3D955C1A" w14:textId="20CC0E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60</w:t>
            </w:r>
          </w:p>
        </w:tc>
      </w:tr>
      <w:tr w:rsidRPr="000A4C96" w:rsidR="00DC74D3" w:rsidTr="007B0ED9" w14:paraId="720D94E0" w14:textId="77777777">
        <w:tc>
          <w:tcPr>
            <w:cnfStyle w:val="001000000000" w:firstRow="0" w:lastRow="0" w:firstColumn="1" w:lastColumn="0" w:oddVBand="0" w:evenVBand="0" w:oddHBand="0" w:evenHBand="0" w:firstRowFirstColumn="0" w:firstRowLastColumn="0" w:lastRowFirstColumn="0" w:lastRowLastColumn="0"/>
            <w:tcW w:w="1397" w:type="dxa"/>
          </w:tcPr>
          <w:p w:rsidRPr="000A4C96" w:rsidR="00DC74D3" w:rsidP="000A4C96" w:rsidRDefault="00DC74D3" w14:paraId="2CDB622C" w14:textId="77777777">
            <w:pPr>
              <w:spacing w:line="360" w:lineRule="auto"/>
              <w:jc w:val="center"/>
              <w:rPr>
                <w:rFonts w:asciiTheme="majorHAnsi" w:hAnsiTheme="majorHAnsi" w:cstheme="majorHAnsi"/>
              </w:rPr>
            </w:pPr>
            <w:r>
              <w:rPr>
                <w:rFonts w:eastAsia="Arial" w:asciiTheme="majorHAnsi" w:hAnsiTheme="majorHAnsi" w:cstheme="majorHAnsi"/>
              </w:rPr>
              <w:t>24/06/2026</w:t>
            </w:r>
          </w:p>
        </w:tc>
        <w:tc>
          <w:tcPr>
            <w:tcW w:w="1845" w:type="dxa"/>
          </w:tcPr>
          <w:p w:rsidRPr="000A4C96" w:rsidR="00DC74D3" w:rsidP="000A4C96" w:rsidRDefault="00DC74D3" w14:paraId="7751F411"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Taller de socialización de la PPPDDH</w:t>
            </w:r>
          </w:p>
        </w:tc>
        <w:tc>
          <w:tcPr>
            <w:tcW w:w="2143" w:type="dxa"/>
          </w:tcPr>
          <w:p w:rsidRPr="000A4C96" w:rsidR="00DC74D3" w:rsidP="000A4C96" w:rsidRDefault="00DC74D3" w14:paraId="1E0D3853"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Auditorio de la Dirección General de la PNC, 10a calle 13-92 zona 1</w:t>
            </w:r>
          </w:p>
        </w:tc>
        <w:tc>
          <w:tcPr>
            <w:tcW w:w="1896" w:type="dxa"/>
          </w:tcPr>
          <w:p w:rsidRPr="000A4C96" w:rsidR="00DC74D3" w:rsidP="000A4C96" w:rsidRDefault="00DC74D3" w14:paraId="7C367D4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Personal de la Policía Nacional Civil</w:t>
            </w:r>
          </w:p>
        </w:tc>
        <w:tc>
          <w:tcPr>
            <w:tcW w:w="1645" w:type="dxa"/>
          </w:tcPr>
          <w:p w:rsidRPr="000A4C96" w:rsidR="00DC74D3" w:rsidP="000A4C96" w:rsidRDefault="00DC74D3" w14:paraId="5170DE5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38</w:t>
            </w:r>
          </w:p>
        </w:tc>
      </w:tr>
      <w:tr w:rsidRPr="000A4C96" w:rsidR="00DC74D3" w:rsidTr="007B0ED9" w14:paraId="7FD424BC" w14:textId="77777777">
        <w:tc>
          <w:tcPr>
            <w:cnfStyle w:val="001000000000" w:firstRow="0" w:lastRow="0" w:firstColumn="1" w:lastColumn="0" w:oddVBand="0" w:evenVBand="0" w:oddHBand="0" w:evenHBand="0" w:firstRowFirstColumn="0" w:firstRowLastColumn="0" w:lastRowFirstColumn="0" w:lastRowLastColumn="0"/>
            <w:tcW w:w="7281" w:type="dxa"/>
            <w:gridSpan w:val="4"/>
          </w:tcPr>
          <w:p w:rsidRPr="000A4C96" w:rsidR="00DC74D3" w:rsidP="000A4C96" w:rsidRDefault="00DC74D3" w14:paraId="0E155235" w14:textId="296353B9">
            <w:pPr>
              <w:spacing w:line="360" w:lineRule="auto"/>
              <w:rPr>
                <w:rFonts w:asciiTheme="majorHAnsi" w:hAnsiTheme="majorHAnsi" w:cstheme="majorHAnsi"/>
              </w:rPr>
            </w:pPr>
            <w:r>
              <w:rPr>
                <w:rFonts w:eastAsia="Arial" w:asciiTheme="majorHAnsi" w:hAnsiTheme="majorHAnsi" w:cstheme="majorHAnsi"/>
              </w:rPr>
              <w:t>Total</w:t>
            </w:r>
          </w:p>
        </w:tc>
        <w:tc>
          <w:tcPr>
            <w:tcW w:w="1645" w:type="dxa"/>
          </w:tcPr>
          <w:p w:rsidRPr="000A4C96" w:rsidR="00DC74D3" w:rsidP="000A4C96" w:rsidRDefault="00DC74D3" w14:paraId="62FF8668" w14:textId="789B35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eastAsia="Arial" w:asciiTheme="majorHAnsi" w:hAnsiTheme="majorHAnsi" w:cstheme="majorHAnsi"/>
              </w:rPr>
              <w:t>249</w:t>
            </w:r>
          </w:p>
        </w:tc>
      </w:tr>
    </w:tbl>
    <w:p w:rsidRPr="000A4C96" w:rsidR="00C0695B" w:rsidP="000A4C96" w:rsidRDefault="00C0695B" w14:paraId="40CA53EF" w14:textId="77777777">
      <w:pPr>
        <w:spacing w:before="100" w:beforeAutospacing="1" w:after="100" w:afterAutospacing="1" w:line="360" w:lineRule="auto"/>
        <w:jc w:val="both"/>
        <w:rPr>
          <w:rFonts w:eastAsia="Times New Roman" w:asciiTheme="majorHAnsi" w:hAnsiTheme="majorHAnsi" w:cstheme="majorHAnsi"/>
          <w:lang w:val="es-GT" w:eastAsia="es-GT"/>
        </w:rPr>
      </w:pPr>
      <w:r>
        <w:rPr>
          <w:rFonts w:eastAsia="Times New Roman" w:asciiTheme="majorHAnsi" w:hAnsiTheme="majorHAnsi" w:cstheme="majorHAnsi"/>
          <w:lang w:val="es-GT" w:eastAsia="es-GT"/>
        </w:rPr>
        <w:t>Estos procesos formativos contribuyen de manera directa al cumplimiento de las intervenciones estratégicas No. 29 y No. 30 (Procesos de formación a funcionarias, funcionarios, servidoras y servidores públicos a cargo de la atención a PDDH sobre la Política, su contenido y su responsabilidad específica), en las cuales el Ministerio de Gobernación figura como responsable. Pese a que el período de implementación previsto para dichas intervenciones inicia formalmente a partir del año 2, esta cartera considera de suma importancia que el personal técnico y operativo conozca el contenido y las obligaciones que emanan de la Política desde esta fase inicial, con el propósito de viabilizar y agilizar la instalación de las mesas de trabajo interinstitucionales que el mismo documento establece.</w:t>
      </w:r>
    </w:p>
    <w:p w:rsidRPr="000A4C96" w:rsidR="00C0695B" w:rsidP="000A4C96" w:rsidRDefault="001C72CE" w14:paraId="745854D6" w14:textId="77777777">
      <w:pPr>
        <w:pStyle w:val="Prrafodelista"/>
        <w:numPr>
          <w:ilvl w:val="0"/>
          <w:numId w:val="7"/>
        </w:numPr>
        <w:spacing w:line="360" w:lineRule="auto"/>
        <w:rPr>
          <w:rFonts w:eastAsia="Times New Roman" w:asciiTheme="majorHAnsi" w:hAnsiTheme="majorHAnsi" w:cstheme="majorHAnsi"/>
          <w:lang w:val="es-GT" w:eastAsia="es-GT"/>
        </w:rPr>
      </w:pPr>
      <w:r>
        <w:rPr>
          <w:rFonts w:eastAsia="Arial" w:asciiTheme="majorHAnsi" w:hAnsiTheme="majorHAnsi" w:cstheme="majorHAnsi"/>
          <w:b/>
          <w:bCs/>
        </w:rPr>
        <w:t>Fortalecimiento de la línea 1543 mediante un asistente virtual (chatbot):</w:t>
      </w:r>
    </w:p>
    <w:p w:rsidRPr="000A4C96" w:rsidR="00C0695B" w:rsidP="000A4C96" w:rsidRDefault="00C0695B" w14:paraId="7BBB8216"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 xml:space="preserve">La línea 1543 de la Policía Nacional Civil funciona como un canal especializado para la recepción de denuncias por riesgos, amenazas y agresiones contra personas defensoras </w:t>
      </w:r>
      <w:r>
        <w:rPr>
          <w:rFonts w:asciiTheme="majorHAnsi" w:hAnsiTheme="majorHAnsi" w:cstheme="majorHAnsi"/>
        </w:rPr>
        <w:lastRenderedPageBreak/>
        <w:t>de derechos humanos, sindicalistas y periodistas, así como para la atención de emergencias. Como parte de las acciones de fortalecimiento institucional vinculadas a la Política, el Ministerio de Gobernación, a través del Cuarto Viceministerio y en coordinación con la PNC, se encuentra en el proceso de implementación de un asistente virtual (</w:t>
      </w:r>
      <w:r>
        <w:rPr>
          <w:rFonts w:asciiTheme="majorHAnsi" w:hAnsiTheme="majorHAnsi" w:cstheme="majorHAnsi"/>
          <w:i/>
          <w:iCs/>
        </w:rPr>
        <w:t>chatbot</w:t>
      </w:r>
      <w:r>
        <w:rPr>
          <w:rFonts w:asciiTheme="majorHAnsi" w:hAnsiTheme="majorHAnsi" w:cstheme="majorHAnsi"/>
        </w:rPr>
        <w:t>) en la plataforma WhatsApp Business, el cual permitirá brindar atención continua las 24 horas del día.</w:t>
      </w:r>
    </w:p>
    <w:p w:rsidRPr="000A4C96" w:rsidR="00C0695B" w:rsidP="000A4C96" w:rsidRDefault="00C0695B" w14:paraId="637A7901" w14:textId="77777777">
      <w:pPr>
        <w:pStyle w:val="Prrafodelista"/>
        <w:spacing w:line="360" w:lineRule="auto"/>
        <w:ind w:left="360"/>
        <w:jc w:val="both"/>
        <w:rPr>
          <w:rFonts w:asciiTheme="majorHAnsi" w:hAnsiTheme="majorHAnsi" w:cstheme="majorHAnsi"/>
        </w:rPr>
      </w:pPr>
    </w:p>
    <w:p w:rsidRPr="000A4C96" w:rsidR="00C0695B" w:rsidP="000A4C96" w:rsidRDefault="00C0695B" w14:paraId="7C349C09"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Esta medida reduce el cuello de botella derivado de la dependencia de un único operador por turno, orienta de manera eficiente a la población general hacia el canal adecuado y preserva un flujo de recepción seguro, confidencial y respetuoso del anonimato para las y los usuarios en situación de riesgo.</w:t>
      </w:r>
    </w:p>
    <w:p w:rsidRPr="000A4C96" w:rsidR="00C0695B" w:rsidP="000A4C96" w:rsidRDefault="00C0695B" w14:paraId="60DDD2C9" w14:textId="2C71A1FA">
      <w:pPr>
        <w:pStyle w:val="Prrafodelista"/>
        <w:spacing w:line="360" w:lineRule="auto"/>
        <w:ind w:left="360"/>
        <w:jc w:val="both"/>
        <w:rPr>
          <w:rFonts w:asciiTheme="majorHAnsi" w:hAnsiTheme="majorHAnsi" w:cstheme="majorHAnsi"/>
        </w:rPr>
      </w:pPr>
      <w:r>
        <w:rPr>
          <w:rFonts w:asciiTheme="majorHAnsi" w:hAnsiTheme="majorHAnsi" w:cstheme="majorHAnsi"/>
        </w:rPr>
        <w:t xml:space="preserve">Asimismo, se ha capacitado a 16 agentes (operadores y mandos de supervisión) que atienden las líneas de emergencia 110 y 1543. Dicha formación se estructuró en dos módulos clave: </w:t>
      </w:r>
      <w:r>
        <w:rPr>
          <w:rFonts w:asciiTheme="majorHAnsi" w:hAnsiTheme="majorHAnsi" w:cstheme="majorHAnsi"/>
          <w:i/>
          <w:iCs/>
        </w:rPr>
        <w:t>Atención con enfoque en personas defensoras</w:t>
      </w:r>
      <w:r>
        <w:rPr>
          <w:rFonts w:asciiTheme="majorHAnsi" w:hAnsiTheme="majorHAnsi" w:cstheme="majorHAnsi"/>
        </w:rPr>
        <w:t xml:space="preserve"> y </w:t>
      </w:r>
      <w:r>
        <w:rPr>
          <w:rFonts w:asciiTheme="majorHAnsi" w:hAnsiTheme="majorHAnsi" w:cstheme="majorHAnsi"/>
          <w:i/>
          <w:iCs/>
        </w:rPr>
        <w:t>Marco legal para la defensa de los derechos humanos</w:t>
      </w:r>
      <w:r>
        <w:rPr>
          <w:rFonts w:asciiTheme="majorHAnsi" w:hAnsiTheme="majorHAnsi" w:cstheme="majorHAnsi"/>
        </w:rPr>
        <w:t>.</w:t>
      </w:r>
    </w:p>
    <w:p w:rsidRPr="000A4C96" w:rsidR="001D6032" w:rsidP="000A4C96" w:rsidRDefault="001D6032" w14:paraId="1E5FD17C" w14:textId="5CF43778">
      <w:pPr>
        <w:pStyle w:val="Prrafodelista"/>
        <w:spacing w:line="360" w:lineRule="auto"/>
        <w:ind w:left="360"/>
        <w:jc w:val="both"/>
        <w:rPr>
          <w:rFonts w:asciiTheme="majorHAnsi" w:hAnsiTheme="majorHAnsi" w:cstheme="majorHAnsi"/>
        </w:rPr>
      </w:pPr>
    </w:p>
    <w:p w:rsidRPr="000A4C96" w:rsidR="00C0695B" w:rsidP="000A4C96" w:rsidRDefault="00C0695B" w14:paraId="6C8114AB"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Asimismo, se documentó el estado físico del equipo de cómputo y del mobiliario asignado al personal que opera la línea 1543, con el objeto de verificar si responde a las necesidades mínimas para el funcionamiento adecuado tanto de la línea telefónica como del asistente virtual. Los resultados de dicha verificación permitirán sustentar los requerimientos de dotación de equipo ante las instancias correspondientes.</w:t>
      </w:r>
    </w:p>
    <w:p w:rsidRPr="000A4C96" w:rsidR="00C0695B" w:rsidP="000A4C96" w:rsidRDefault="00C0695B" w14:paraId="2F02E73F" w14:textId="77777777">
      <w:pPr>
        <w:pStyle w:val="Prrafodelista"/>
        <w:spacing w:line="360" w:lineRule="auto"/>
        <w:ind w:left="360"/>
        <w:jc w:val="both"/>
        <w:rPr>
          <w:rFonts w:asciiTheme="majorHAnsi" w:hAnsiTheme="majorHAnsi" w:cstheme="majorHAnsi"/>
        </w:rPr>
      </w:pPr>
    </w:p>
    <w:p w:rsidRPr="000A4C96" w:rsidR="00C0695B" w:rsidP="000A4C96" w:rsidRDefault="00C0695B" w14:paraId="1D6E30EF"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De igual forma, en conjunto con el Cuarto Viceministerio de Gobernación, la Policía Nacional Civil y el proveedor del servicio, se encuentran en revisión los mecanismos de seguridad digital, así como los de protección y resguardo de los datos personales y de la información proporcionada por las personas defensoras a través de estas herramientas de comunicación.</w:t>
      </w:r>
    </w:p>
    <w:p w:rsidRPr="000A4C96" w:rsidR="00C0695B" w:rsidP="000A4C96" w:rsidRDefault="00C0695B" w14:paraId="2757FA85" w14:textId="77777777">
      <w:pPr>
        <w:pStyle w:val="Prrafodelista"/>
        <w:spacing w:line="360" w:lineRule="auto"/>
        <w:ind w:left="360"/>
        <w:jc w:val="both"/>
        <w:rPr>
          <w:rFonts w:asciiTheme="majorHAnsi" w:hAnsiTheme="majorHAnsi" w:cstheme="majorHAnsi"/>
        </w:rPr>
      </w:pPr>
    </w:p>
    <w:p w:rsidRPr="000A4C96" w:rsidR="00CE6392" w:rsidP="000A4C96" w:rsidRDefault="007B0ED9" w14:paraId="753294E8" w14:textId="72579A61">
      <w:pPr>
        <w:pStyle w:val="NormalWeb"/>
        <w:spacing w:line="360" w:lineRule="auto"/>
        <w:ind w:left="360"/>
        <w:jc w:val="both"/>
        <w:rPr>
          <w:rFonts w:asciiTheme="majorHAnsi" w:hAnsiTheme="majorHAnsi" w:cstheme="majorHAnsi"/>
        </w:rPr>
      </w:pPr>
      <w:r w:rsidRPr="000E5C88">
        <w:rPr>
          <w:rFonts w:asciiTheme="majorHAnsi" w:hAnsiTheme="majorHAnsi" w:cstheme="majorHAnsi"/>
        </w:rPr>
        <w:t>Este eje de trabajo articula de forma directa las intervenciones estratégicas que la Política asigna al Ministerio de Gobernación como responsable en relación con la línea 1543: No. 33 (protocolos de atención de llamadas accesibles y de intervención rápida; año 1, correspondiendo al MINGOB el seguimiento), No. 34 (dotación de equipo y personal; año 1), No. 35 (formación y sensibilización del personal; año 2) y No. 36 (divulgación de la línea; año 1).</w:t>
      </w:r>
      <w:r>
        <w:rPr>
          <w:rFonts w:asciiTheme="majorHAnsi" w:hAnsiTheme="majorHAnsi" w:cstheme="majorHAnsi"/>
        </w:rPr>
        <w:t xml:space="preserve"> En particular, la verificación del estado del equipo de cómputo y del mobiliario constituye la línea de base para el cumplimiento de la intervención No. 34, cuyo medio de verificación previsto son los equipos adquiridos y los contratos de personal para la atención de la línea.</w:t>
      </w:r>
    </w:p>
    <w:p w:rsidRPr="000A4C96" w:rsidR="00C0695B" w:rsidP="000A4C96" w:rsidRDefault="00C0695B" w14:paraId="52717B7A" w14:textId="77777777">
      <w:pPr>
        <w:spacing w:line="360" w:lineRule="auto"/>
        <w:jc w:val="both"/>
        <w:rPr>
          <w:rFonts w:eastAsia="Arial" w:asciiTheme="majorHAnsi" w:hAnsiTheme="majorHAnsi" w:cstheme="majorHAnsi"/>
          <w:b/>
          <w:bCs/>
        </w:rPr>
      </w:pPr>
    </w:p>
    <w:p w:rsidRPr="000A4C96" w:rsidR="00C0695B" w:rsidP="000A4C96" w:rsidRDefault="001C72CE" w14:paraId="7E1807AD" w14:textId="77777777">
      <w:pPr>
        <w:pStyle w:val="Prrafodelista"/>
        <w:numPr>
          <w:ilvl w:val="0"/>
          <w:numId w:val="7"/>
        </w:numPr>
        <w:spacing w:line="360" w:lineRule="auto"/>
        <w:rPr>
          <w:rFonts w:asciiTheme="majorHAnsi" w:hAnsiTheme="majorHAnsi" w:cstheme="majorHAnsi"/>
        </w:rPr>
      </w:pPr>
      <w:r>
        <w:rPr>
          <w:rFonts w:eastAsia="Arial" w:asciiTheme="majorHAnsi" w:hAnsiTheme="majorHAnsi" w:cstheme="majorHAnsi"/>
          <w:b/>
          <w:bCs/>
        </w:rPr>
        <w:t>Socialización de la Política con la Secretaría de Política Criminal del Ministerio Público:</w:t>
      </w:r>
    </w:p>
    <w:p w:rsidRPr="000A4C96" w:rsidR="00C0695B" w:rsidP="000A4C96" w:rsidRDefault="00C0695B" w14:paraId="45387A3C" w14:textId="15CE55CE">
      <w:pPr>
        <w:pStyle w:val="Prrafodelista"/>
        <w:spacing w:line="360" w:lineRule="auto"/>
        <w:ind w:left="360"/>
        <w:jc w:val="both"/>
        <w:rPr>
          <w:rFonts w:asciiTheme="majorHAnsi" w:hAnsiTheme="majorHAnsi" w:cstheme="majorHAnsi"/>
        </w:rPr>
      </w:pPr>
      <w:r>
        <w:rPr>
          <w:rFonts w:asciiTheme="majorHAnsi" w:hAnsiTheme="majorHAnsi" w:cstheme="majorHAnsi"/>
        </w:rPr>
        <w:t>El 3 de julio de 2026, se llevó a cabo una jornada de socialización de la Política Pública dirigida al personal de la Secretaría de Política Criminal del Ministerio Público. Esta actividad tuvo por objeto dar a conocer el contenido de la Política, así como generar y optimizar los mecanismos de coordinación con dicha institución para garantizar una implementación efectiva.</w:t>
      </w:r>
    </w:p>
    <w:p w:rsidRPr="000A4C96" w:rsidR="00C0695B" w:rsidP="000A4C96" w:rsidRDefault="00C0695B" w14:paraId="3EA223D5" w14:textId="77777777">
      <w:pPr>
        <w:pStyle w:val="Prrafodelista"/>
        <w:spacing w:line="360" w:lineRule="auto"/>
        <w:ind w:left="360"/>
        <w:jc w:val="both"/>
        <w:rPr>
          <w:rFonts w:asciiTheme="majorHAnsi" w:hAnsiTheme="majorHAnsi" w:cstheme="majorHAnsi"/>
        </w:rPr>
      </w:pPr>
    </w:p>
    <w:p w:rsidR="00C0695B" w:rsidP="000A4C96" w:rsidRDefault="00C0695B" w14:paraId="741DBD6C" w14:textId="2883C20F">
      <w:pPr>
        <w:pStyle w:val="Prrafodelista"/>
        <w:spacing w:line="360" w:lineRule="auto"/>
        <w:ind w:left="360"/>
        <w:jc w:val="both"/>
        <w:rPr>
          <w:rFonts w:asciiTheme="majorHAnsi" w:hAnsiTheme="majorHAnsi" w:cstheme="majorHAnsi"/>
        </w:rPr>
      </w:pPr>
      <w:r>
        <w:rPr>
          <w:rFonts w:asciiTheme="majorHAnsi" w:hAnsiTheme="majorHAnsi" w:cstheme="majorHAnsi"/>
        </w:rPr>
        <w:t>Esta acción se enmarca en las intervenciones estratégicas No. 29 y No. 30 (</w:t>
      </w:r>
      <w:r>
        <w:rPr>
          <w:rFonts w:asciiTheme="majorHAnsi" w:hAnsiTheme="majorHAnsi" w:cstheme="majorHAnsi"/>
          <w:i/>
          <w:iCs/>
        </w:rPr>
        <w:t>Formación y socialización de la Política y de la responsabilidad específica de las instituciones</w:t>
      </w:r>
      <w:r>
        <w:rPr>
          <w:rFonts w:asciiTheme="majorHAnsi" w:hAnsiTheme="majorHAnsi" w:cstheme="majorHAnsi"/>
        </w:rPr>
        <w:t>), y resulta de especial relevancia considerando que el Ministerio Público figura en el documento como una entidad clave a coordinar en múltiples intervenciones de los tres ejes estratégicos. La socialización con la Secretaría de Política Criminal fortalece la apropiación institucional necesaria para la articulación interinstitucional que la Política exige.</w:t>
      </w:r>
    </w:p>
    <w:p w:rsidRPr="000A4C96" w:rsidR="00562074" w:rsidP="000A4C96" w:rsidRDefault="00562074" w14:paraId="61B87EC2" w14:textId="77777777">
      <w:pPr>
        <w:pStyle w:val="Prrafodelista"/>
        <w:spacing w:line="360" w:lineRule="auto"/>
        <w:ind w:left="360"/>
        <w:jc w:val="both"/>
        <w:rPr>
          <w:rFonts w:asciiTheme="majorHAnsi" w:hAnsiTheme="majorHAnsi" w:cstheme="majorHAnsi"/>
        </w:rPr>
      </w:pPr>
    </w:p>
    <w:p w:rsidRPr="000A4C96" w:rsidR="00C0695B" w:rsidP="000A4C96" w:rsidRDefault="00C0695B" w14:paraId="489907B3" w14:textId="77777777">
      <w:pPr>
        <w:spacing w:line="360" w:lineRule="auto"/>
        <w:jc w:val="both"/>
        <w:rPr>
          <w:rFonts w:asciiTheme="majorHAnsi" w:hAnsiTheme="majorHAnsi" w:cstheme="majorHAnsi"/>
        </w:rPr>
      </w:pPr>
    </w:p>
    <w:p w:rsidRPr="000A4C96" w:rsidR="00C0695B" w:rsidP="000A4C96" w:rsidRDefault="001C72CE" w14:paraId="30878B42" w14:textId="77777777">
      <w:pPr>
        <w:pStyle w:val="Prrafodelista"/>
        <w:numPr>
          <w:ilvl w:val="0"/>
          <w:numId w:val="7"/>
        </w:numPr>
        <w:spacing w:line="360" w:lineRule="auto"/>
        <w:rPr>
          <w:rFonts w:eastAsia="Times New Roman" w:asciiTheme="majorHAnsi" w:hAnsiTheme="majorHAnsi" w:cstheme="majorHAnsi"/>
          <w:lang w:val="es-GT" w:eastAsia="es-GT"/>
        </w:rPr>
      </w:pPr>
      <w:r>
        <w:rPr>
          <w:rFonts w:asciiTheme="majorHAnsi" w:hAnsiTheme="majorHAnsi" w:cstheme="majorHAnsi"/>
          <w:b/>
          <w:bCs/>
        </w:rPr>
        <w:t>Coordinación con la Fiscalía de Sección de Derechos Humanos del Ministerio Público:</w:t>
      </w:r>
    </w:p>
    <w:p w:rsidRPr="000A4C96" w:rsidR="00C0695B" w:rsidP="000A4C96" w:rsidRDefault="00C0695B" w14:paraId="5AF629EF" w14:textId="77777777">
      <w:pPr>
        <w:pStyle w:val="Prrafodelista"/>
        <w:spacing w:line="360" w:lineRule="auto"/>
        <w:ind w:left="360"/>
        <w:jc w:val="both"/>
        <w:rPr>
          <w:rFonts w:asciiTheme="majorHAnsi" w:hAnsiTheme="majorHAnsi" w:cstheme="majorHAnsi"/>
        </w:rPr>
      </w:pPr>
      <w:r w:rsidRPr="000E5C88">
        <w:rPr>
          <w:rFonts w:asciiTheme="majorHAnsi" w:hAnsiTheme="majorHAnsi" w:cstheme="majorHAnsi"/>
          <w:highlight w:val="yellow"/>
        </w:rPr>
        <w:t>Se sostuvo reunión de trabajo con la titular de la Fiscalía de Sección de Derechos Humanos del Ministerio Público, en la cual se abordaron de manera puntual la reincorporación de dicha Fiscalía a la mesa de la Instancia de Análisis de Ataques contra el Derecho de Personas, Organizaciones, Comunidades y Autoridades de los Pueblos Originarios a Defender Derechos Humanos, la identificación de casos prioritarios y el seguimiento de estos desde la referida Instancia.</w:t>
      </w:r>
    </w:p>
    <w:p w:rsidRPr="000A4C96" w:rsidR="00C0695B" w:rsidP="000A4C96" w:rsidRDefault="00C0695B" w14:paraId="30B39030" w14:textId="77777777">
      <w:pPr>
        <w:pStyle w:val="Prrafodelista"/>
        <w:spacing w:line="360" w:lineRule="auto"/>
        <w:ind w:left="360"/>
        <w:jc w:val="both"/>
        <w:rPr>
          <w:rFonts w:asciiTheme="majorHAnsi" w:hAnsiTheme="majorHAnsi" w:cstheme="majorHAnsi"/>
        </w:rPr>
      </w:pPr>
    </w:p>
    <w:p w:rsidRPr="000A4C96" w:rsidR="00C0695B" w:rsidP="000A4C96" w:rsidRDefault="00C0695B" w14:paraId="73AF5D86" w14:textId="3DC278F6">
      <w:pPr>
        <w:pStyle w:val="Prrafodelista"/>
        <w:spacing w:line="360" w:lineRule="auto"/>
        <w:ind w:left="360"/>
        <w:jc w:val="both"/>
        <w:rPr>
          <w:rFonts w:asciiTheme="majorHAnsi" w:hAnsiTheme="majorHAnsi" w:cstheme="majorHAnsi"/>
        </w:rPr>
      </w:pPr>
      <w:r>
        <w:rPr>
          <w:rFonts w:asciiTheme="majorHAnsi" w:hAnsiTheme="majorHAnsi" w:cstheme="majorHAnsi"/>
        </w:rPr>
        <w:t xml:space="preserve">Asimismo, se </w:t>
      </w:r>
      <w:r w:rsidR="000E5C88">
        <w:rPr>
          <w:rFonts w:asciiTheme="majorHAnsi" w:hAnsiTheme="majorHAnsi" w:cstheme="majorHAnsi"/>
        </w:rPr>
        <w:t xml:space="preserve">solicitará la </w:t>
      </w:r>
      <w:r>
        <w:rPr>
          <w:rFonts w:asciiTheme="majorHAnsi" w:hAnsiTheme="majorHAnsi" w:cstheme="majorHAnsi"/>
        </w:rPr>
        <w:t>coordinación a</w:t>
      </w:r>
      <w:r w:rsidR="000E5C88">
        <w:rPr>
          <w:rFonts w:asciiTheme="majorHAnsi" w:hAnsiTheme="majorHAnsi" w:cstheme="majorHAnsi"/>
        </w:rPr>
        <w:t>l</w:t>
      </w:r>
      <w:r>
        <w:rPr>
          <w:rFonts w:asciiTheme="majorHAnsi" w:hAnsiTheme="majorHAnsi" w:cstheme="majorHAnsi"/>
        </w:rPr>
        <w:t xml:space="preserve"> Fiscal General de la República y Jef</w:t>
      </w:r>
      <w:r w:rsidR="000E5C88">
        <w:rPr>
          <w:rFonts w:asciiTheme="majorHAnsi" w:hAnsiTheme="majorHAnsi" w:cstheme="majorHAnsi"/>
        </w:rPr>
        <w:t>e</w:t>
      </w:r>
      <w:r>
        <w:rPr>
          <w:rFonts w:asciiTheme="majorHAnsi" w:hAnsiTheme="majorHAnsi" w:cstheme="majorHAnsi"/>
        </w:rPr>
        <w:t xml:space="preserve"> del Ministerio Público para la realización de una serie de jornadas de socialización y capacitación sobre la Política, dirigidas a la totalidad del personal de la referida Fiscalía, así como a las fiscalías del interior de la República en las que se identifique la existencia de denuncias por hechos de violencia cometidos contra personas defensoras de derechos humanos en el marco del ejercicio del derecho a defender derechos.</w:t>
      </w:r>
    </w:p>
    <w:p w:rsidRPr="000A4C96" w:rsidR="00C0695B" w:rsidP="000A4C96" w:rsidRDefault="00C0695B" w14:paraId="29A3C096" w14:textId="77777777">
      <w:pPr>
        <w:pStyle w:val="Prrafodelista"/>
        <w:spacing w:line="360" w:lineRule="auto"/>
        <w:ind w:left="360"/>
        <w:jc w:val="both"/>
        <w:rPr>
          <w:rFonts w:asciiTheme="majorHAnsi" w:hAnsiTheme="majorHAnsi" w:cstheme="majorHAnsi"/>
        </w:rPr>
      </w:pPr>
    </w:p>
    <w:p w:rsidRPr="000A4C96" w:rsidR="00CE6392" w:rsidP="000A4C96" w:rsidRDefault="007B0ED9" w14:paraId="0A200B58" w14:textId="2756B702">
      <w:pPr>
        <w:pStyle w:val="NormalWeb"/>
        <w:spacing w:line="360" w:lineRule="auto"/>
        <w:ind w:left="360"/>
        <w:jc w:val="both"/>
        <w:rPr>
          <w:rFonts w:asciiTheme="majorHAnsi" w:hAnsiTheme="majorHAnsi" w:cstheme="majorHAnsi"/>
        </w:rPr>
      </w:pPr>
      <w:r>
        <w:rPr>
          <w:rFonts w:asciiTheme="majorHAnsi" w:hAnsiTheme="majorHAnsi" w:cstheme="majorHAnsi"/>
        </w:rPr>
        <w:t>Estas acciones responden a la intervenci</w:t>
      </w:r>
      <w:r w:rsidR="000E5C88">
        <w:rPr>
          <w:rFonts w:asciiTheme="majorHAnsi" w:hAnsiTheme="majorHAnsi" w:cstheme="majorHAnsi"/>
        </w:rPr>
        <w:t>ón</w:t>
      </w:r>
      <w:r>
        <w:rPr>
          <w:rFonts w:asciiTheme="majorHAnsi" w:hAnsiTheme="majorHAnsi" w:cstheme="majorHAnsi"/>
        </w:rPr>
        <w:t xml:space="preserve"> estratégica No. 28 (</w:t>
      </w:r>
      <w:r>
        <w:rPr>
          <w:rFonts w:asciiTheme="majorHAnsi" w:hAnsiTheme="majorHAnsi" w:cstheme="majorHAnsi"/>
          <w:i/>
          <w:iCs/>
        </w:rPr>
        <w:t>integrar a la Instancia de Análisis de Ataques las experiencias, el diseño metodológico y los mecanismos de seguimiento de la comunidad defensora de derechos humanos y de los organismos internacionales</w:t>
      </w:r>
      <w:r>
        <w:rPr>
          <w:rFonts w:asciiTheme="majorHAnsi" w:hAnsiTheme="majorHAnsi" w:cstheme="majorHAnsi"/>
        </w:rPr>
        <w:t>; año 1),</w:t>
      </w:r>
      <w:r w:rsidR="000E5C88">
        <w:rPr>
          <w:rFonts w:asciiTheme="majorHAnsi" w:hAnsiTheme="majorHAnsi" w:cstheme="majorHAnsi"/>
        </w:rPr>
        <w:t xml:space="preserve"> </w:t>
      </w:r>
      <w:r>
        <w:rPr>
          <w:rFonts w:asciiTheme="majorHAnsi" w:hAnsiTheme="majorHAnsi" w:cstheme="majorHAnsi"/>
        </w:rPr>
        <w:t xml:space="preserve">con el Ministerio de Gobernación como responsable y con los informes de las mesas de trabajo como medio de verificación. La solicitud de jornadas de socialización y capacitación se enmarca, por su parte, en las intervenciones No. 29 y No. 30 (procesos de formación a funcionarias, funcionarios, servidoras y servidores públicos a cargo de la atención a PDDH), en las cuales el Ministerio Público figura entre las instituciones corresponsables y a coordinar, y prepara el cumplimiento de las intervenciones No. 43 y No. 44 (diseño, actualización e implementación de los protocolos </w:t>
      </w:r>
      <w:r>
        <w:rPr>
          <w:rFonts w:asciiTheme="majorHAnsi" w:hAnsiTheme="majorHAnsi" w:cstheme="majorHAnsi"/>
        </w:rPr>
        <w:lastRenderedPageBreak/>
        <w:t>de actuación especializada frente a las denuncias presentadas por PDDH), correspondientes al Eje Estratégico 3 de la Política.</w:t>
      </w:r>
    </w:p>
    <w:p w:rsidRPr="000A4C96" w:rsidR="00C0695B" w:rsidP="000A4C96" w:rsidRDefault="00C0695B" w14:paraId="0A5FE213" w14:textId="77777777">
      <w:pPr>
        <w:pStyle w:val="Prrafodelista"/>
        <w:spacing w:line="360" w:lineRule="auto"/>
        <w:ind w:left="360"/>
        <w:jc w:val="both"/>
        <w:rPr>
          <w:rFonts w:asciiTheme="majorHAnsi" w:hAnsiTheme="majorHAnsi" w:cstheme="majorHAnsi"/>
        </w:rPr>
      </w:pPr>
    </w:p>
    <w:p w:rsidRPr="000A4C96" w:rsidR="00C0695B" w:rsidP="000A4C96" w:rsidRDefault="001C72CE" w14:paraId="1B70A1BC" w14:textId="77777777">
      <w:pPr>
        <w:pStyle w:val="Prrafodelista"/>
        <w:numPr>
          <w:ilvl w:val="0"/>
          <w:numId w:val="7"/>
        </w:numPr>
        <w:spacing w:line="360" w:lineRule="auto"/>
        <w:rPr>
          <w:rFonts w:eastAsia="Times New Roman" w:asciiTheme="majorHAnsi" w:hAnsiTheme="majorHAnsi" w:cstheme="majorHAnsi"/>
          <w:lang w:val="es-GT" w:eastAsia="es-GT"/>
        </w:rPr>
      </w:pPr>
      <w:r>
        <w:rPr>
          <w:rFonts w:asciiTheme="majorHAnsi" w:hAnsiTheme="majorHAnsi" w:cstheme="majorHAnsi"/>
          <w:b/>
          <w:bCs/>
        </w:rPr>
        <w:t>Acercamientos con la Presidencia de la Corte Suprema de Justicia:</w:t>
      </w:r>
    </w:p>
    <w:p w:rsidRPr="000A4C96" w:rsidR="00C0695B" w:rsidP="000A4C96" w:rsidRDefault="00C0695B" w14:paraId="4AF970EE"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Se han cursado solicitudes oficiales con el objeto de lograr un acercamiento con la Presidencia de la Corte Suprema de Justicia, orientado a ejecutar y articular, desde la institucionalidad, acciones estratégicas para la socialización de la Política y el involucramiento del Organismo Judicial en su implementación, particularmente por medio de la Escuela de Estudios Judiciales.</w:t>
      </w:r>
    </w:p>
    <w:p w:rsidRPr="000A4C96" w:rsidR="00C0695B" w:rsidP="000A4C96" w:rsidRDefault="00C0695B" w14:paraId="5E6E26D0" w14:textId="77777777">
      <w:pPr>
        <w:pStyle w:val="Prrafodelista"/>
        <w:spacing w:line="360" w:lineRule="auto"/>
        <w:ind w:left="360"/>
        <w:jc w:val="both"/>
        <w:rPr>
          <w:rFonts w:asciiTheme="majorHAnsi" w:hAnsiTheme="majorHAnsi" w:cstheme="majorHAnsi"/>
        </w:rPr>
      </w:pPr>
    </w:p>
    <w:p w:rsidRPr="000A4C96" w:rsidR="00C0695B" w:rsidP="000A4C96" w:rsidRDefault="00C0695B" w14:paraId="42D3D6EC" w14:textId="77777777">
      <w:pPr>
        <w:pStyle w:val="Prrafodelista"/>
        <w:spacing w:line="360" w:lineRule="auto"/>
        <w:ind w:left="360"/>
        <w:jc w:val="both"/>
        <w:rPr>
          <w:rFonts w:asciiTheme="majorHAnsi" w:hAnsiTheme="majorHAnsi" w:cstheme="majorHAnsi"/>
        </w:rPr>
      </w:pPr>
      <w:r>
        <w:rPr>
          <w:rFonts w:asciiTheme="majorHAnsi" w:hAnsiTheme="majorHAnsi" w:cstheme="majorHAnsi"/>
        </w:rPr>
        <w:t>Mediante esta articulación se busca generar incidencia en materia de acceso a la justicia; en el tratamiento de los procesos penales conforme a los estándares internacionales, tanto respecto de la persona defensora en calidad de víctima como en calidad de sindicada; en la observancia de las garantías del debido proceso; y en las acciones positivas que puedan derivar de una sentencia, tales como el reconocimiento de la persona como defensora de derechos humanos, el reconocimiento de su labor de defensa, el otorgamiento de medidas de protección y la adopción de medidas de reparación digna, principalmente garantías de no repetición y de restitución de derechos, incluidas la compensación, la indemnización y la satisfacción.</w:t>
      </w:r>
    </w:p>
    <w:p w:rsidRPr="000A4C96" w:rsidR="00C0695B" w:rsidP="000A4C96" w:rsidRDefault="00C0695B" w14:paraId="53E90203" w14:textId="77777777">
      <w:pPr>
        <w:pStyle w:val="Prrafodelista"/>
        <w:spacing w:line="360" w:lineRule="auto"/>
        <w:ind w:left="360"/>
        <w:jc w:val="both"/>
        <w:rPr>
          <w:rFonts w:asciiTheme="majorHAnsi" w:hAnsiTheme="majorHAnsi" w:cstheme="majorHAnsi"/>
        </w:rPr>
      </w:pPr>
    </w:p>
    <w:p w:rsidRPr="000A4C96" w:rsidR="00CE6392" w:rsidP="000A4C96" w:rsidRDefault="007B0ED9" w14:paraId="2CFF049C" w14:textId="77777777">
      <w:pPr>
        <w:pStyle w:val="NormalWeb"/>
        <w:spacing w:line="360" w:lineRule="auto"/>
        <w:ind w:left="360"/>
        <w:jc w:val="both"/>
        <w:rPr>
          <w:rFonts w:asciiTheme="majorHAnsi" w:hAnsiTheme="majorHAnsi" w:cstheme="majorHAnsi"/>
        </w:rPr>
      </w:pPr>
      <w:r>
        <w:rPr>
          <w:rFonts w:asciiTheme="majorHAnsi" w:hAnsiTheme="majorHAnsi" w:cstheme="majorHAnsi"/>
        </w:rPr>
        <w:t>Estas gestiones se vinculan con el Eje Estratégico 3 de la Política (</w:t>
      </w:r>
      <w:r>
        <w:rPr>
          <w:rFonts w:asciiTheme="majorHAnsi" w:hAnsiTheme="majorHAnsi" w:cstheme="majorHAnsi"/>
          <w:i/>
          <w:iCs/>
        </w:rPr>
        <w:t>Acceso a la justicia y reparación digna</w:t>
      </w:r>
      <w:r>
        <w:rPr>
          <w:rFonts w:asciiTheme="majorHAnsi" w:hAnsiTheme="majorHAnsi" w:cstheme="majorHAnsi"/>
        </w:rPr>
        <w:t>). De manera específica, contribuyen a las intervenciones estratégicas No. 43 (</w:t>
      </w:r>
      <w:r>
        <w:rPr>
          <w:rFonts w:asciiTheme="majorHAnsi" w:hAnsiTheme="majorHAnsi" w:cstheme="majorHAnsi"/>
          <w:i/>
          <w:iCs/>
        </w:rPr>
        <w:t>diseñar o actualizar los protocolos de actuación especializada a PDDH que presentan denuncias de agresiones que afectan su labor</w:t>
      </w:r>
      <w:r>
        <w:rPr>
          <w:rFonts w:asciiTheme="majorHAnsi" w:hAnsiTheme="majorHAnsi" w:cstheme="majorHAnsi"/>
        </w:rPr>
        <w:t>; año 2), No. 45 (</w:t>
      </w:r>
      <w:r>
        <w:rPr>
          <w:rFonts w:asciiTheme="majorHAnsi" w:hAnsiTheme="majorHAnsi" w:cstheme="majorHAnsi"/>
          <w:i/>
          <w:iCs/>
        </w:rPr>
        <w:t>analizar y recomendar la reforma o derogación de las normas que contravienen u obstaculizan la obligación de garantizar el derecho a defender derechos humanos</w:t>
      </w:r>
      <w:r>
        <w:rPr>
          <w:rFonts w:asciiTheme="majorHAnsi" w:hAnsiTheme="majorHAnsi" w:cstheme="majorHAnsi"/>
        </w:rPr>
        <w:t>; año 1) y No. 49 (</w:t>
      </w:r>
      <w:r>
        <w:rPr>
          <w:rFonts w:asciiTheme="majorHAnsi" w:hAnsiTheme="majorHAnsi" w:cstheme="majorHAnsi"/>
          <w:i/>
          <w:iCs/>
        </w:rPr>
        <w:t xml:space="preserve">incluir </w:t>
      </w:r>
      <w:r>
        <w:rPr>
          <w:rFonts w:asciiTheme="majorHAnsi" w:hAnsiTheme="majorHAnsi" w:cstheme="majorHAnsi"/>
          <w:i/>
          <w:iCs/>
        </w:rPr>
        <w:lastRenderedPageBreak/>
        <w:t>en las sentencias condenatorias medidas de reparación digna y garantías de no repetición con características interseccionales</w:t>
      </w:r>
      <w:r>
        <w:rPr>
          <w:rFonts w:asciiTheme="majorHAnsi" w:hAnsiTheme="majorHAnsi" w:cstheme="majorHAnsi"/>
        </w:rPr>
        <w:t>; año 3), intervenciones en las cuales el Ministerio de Gobernación figura como responsable y el Organismo Judicial entre las instituciones a coordinar. De igual forma, guardan relación con la intervención No. 48 (</w:t>
      </w:r>
      <w:r>
        <w:rPr>
          <w:rFonts w:asciiTheme="majorHAnsi" w:hAnsiTheme="majorHAnsi" w:cstheme="majorHAnsi"/>
          <w:i/>
          <w:iCs/>
        </w:rPr>
        <w:t>analizar las sentencias absolutorias y condenatorias de casos contra PDDH que permitan identificar la existencia de patrones de instrumentalización del derecho penal como forma de agresión</w:t>
      </w:r>
      <w:r>
        <w:rPr>
          <w:rFonts w:asciiTheme="majorHAnsi" w:hAnsiTheme="majorHAnsi" w:cstheme="majorHAnsi"/>
        </w:rPr>
        <w:t>; año 2). Finalmente, la socialización dirigida a la Escuela de Estudios Judiciales se enmarca en las intervenciones No. 29 y No. 30, que incluyen al Organismo Judicial entre las instituciones destinatarias de los procesos de formación.</w:t>
      </w:r>
    </w:p>
    <w:p w:rsidRPr="000A4C96" w:rsidR="00C0695B" w:rsidP="000A4C96" w:rsidRDefault="00C0695B" w14:paraId="4E608E24" w14:textId="77777777">
      <w:pPr>
        <w:pStyle w:val="Prrafodelista"/>
        <w:spacing w:line="360" w:lineRule="auto"/>
        <w:ind w:left="360"/>
        <w:jc w:val="both"/>
        <w:rPr>
          <w:rFonts w:asciiTheme="majorHAnsi" w:hAnsiTheme="majorHAnsi" w:cstheme="majorHAnsi"/>
        </w:rPr>
      </w:pPr>
    </w:p>
    <w:p w:rsidRPr="000A4C96" w:rsidR="00C0695B" w:rsidP="000A4C96" w:rsidRDefault="00C0695B" w14:paraId="42DD48C3" w14:textId="2019EA3D">
      <w:pPr>
        <w:spacing w:line="360" w:lineRule="auto"/>
        <w:jc w:val="both"/>
        <w:rPr>
          <w:rFonts w:asciiTheme="majorHAnsi" w:hAnsiTheme="majorHAnsi" w:cstheme="majorHAnsi"/>
        </w:rPr>
      </w:pPr>
      <w:r>
        <w:rPr>
          <w:rFonts w:asciiTheme="majorHAnsi" w:hAnsiTheme="majorHAnsi" w:cstheme="majorHAnsi"/>
        </w:rPr>
        <w:t xml:space="preserve">El Ministerio de Gobernación, en su calidad de ente rector, reitera su firme compromiso con la implementación efectiva de la Política Pública para la Protección de Personas Defensoras de Derechos Humanos en Guatemala (2025-2035), en estricto cumplimiento de las medidas de reparación y garantías de no repetición ordenadas por la Corte Interamericana de Derechos Humanos. Las acciones reportadas en este informe evidencian avances tempranos, proactivos y sostenidos durante el presente año, orientados firmemente a la construcción de un sistema de protección integral con enfoque diferencial e interseccional a favor de las personas defensoras de derechos humanos en el país. </w:t>
      </w:r>
    </w:p>
    <w:p w:rsidRPr="000A4C96" w:rsidR="001D6032" w:rsidP="000A4C96" w:rsidRDefault="001D6032" w14:paraId="1D3BF4B0" w14:textId="2026C534">
      <w:pPr>
        <w:spacing w:line="360" w:lineRule="auto"/>
        <w:jc w:val="both"/>
        <w:rPr>
          <w:rFonts w:asciiTheme="majorHAnsi" w:hAnsiTheme="majorHAnsi" w:cstheme="majorHAnsi"/>
        </w:rPr>
      </w:pPr>
    </w:p>
    <w:p w:rsidRPr="000A4C96" w:rsidR="00C0695B" w:rsidP="000A4C96" w:rsidRDefault="00187221" w14:paraId="4C81064C" w14:textId="77777777">
      <w:pPr>
        <w:pStyle w:val="Prrafodelista"/>
        <w:numPr>
          <w:ilvl w:val="0"/>
          <w:numId w:val="3"/>
        </w:numPr>
        <w:spacing w:after="200" w:line="360" w:lineRule="auto"/>
        <w:jc w:val="both"/>
        <w:rPr>
          <w:rFonts w:asciiTheme="majorHAnsi" w:hAnsiTheme="majorHAnsi" w:cstheme="majorHAnsi"/>
        </w:rPr>
      </w:pPr>
      <w:r>
        <w:rPr>
          <w:rFonts w:eastAsia="Arial" w:asciiTheme="majorHAnsi" w:hAnsiTheme="majorHAnsi" w:cstheme="majorHAnsi"/>
          <w:b/>
          <w:bCs/>
        </w:rPr>
        <w:t>Documentación de soporte.</w:t>
      </w:r>
    </w:p>
    <w:p w:rsidRPr="000A4C96" w:rsidR="00C0695B" w:rsidP="000A4C96" w:rsidRDefault="00C0695B" w14:paraId="59F7DDF7" w14:textId="77777777">
      <w:pPr>
        <w:pStyle w:val="Prrafodelista"/>
        <w:spacing w:after="200" w:line="360" w:lineRule="auto"/>
        <w:ind w:left="360"/>
        <w:jc w:val="both"/>
        <w:rPr>
          <w:rFonts w:asciiTheme="majorHAnsi" w:hAnsiTheme="majorHAnsi" w:cstheme="majorHAnsi"/>
        </w:rPr>
      </w:pPr>
      <w:r>
        <w:rPr>
          <w:rFonts w:asciiTheme="majorHAnsi" w:hAnsiTheme="majorHAnsi" w:cstheme="majorHAnsi"/>
        </w:rPr>
        <w:t>Con el propósito de aportar información relevante que permita a la Procuraduría General de la Nación informar adecuadamente a la Corte Interamericana de Derechos Humanos, se adjunta al presente informe, en copia simple, la documentación de soporte que se detalla a continuación:</w:t>
      </w:r>
    </w:p>
    <w:p w:rsidRPr="000A4C96" w:rsidR="00C0695B" w:rsidP="000A4C96" w:rsidRDefault="00CD0A8A" w14:paraId="3BF31C12" w14:textId="51D0786A">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participantes emitido por la COPADEH, de fecha 11 de marzo de 2026, que corresponde a la siguiente actividad: Taller de socialización de la PPPPDDHH.</w:t>
      </w:r>
    </w:p>
    <w:p w:rsidRPr="000A4C96" w:rsidR="00CD0A8A" w:rsidP="000A4C96" w:rsidRDefault="00CD0A8A" w14:paraId="4004A45F" w14:textId="2320ED61">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lastRenderedPageBreak/>
        <w:t>Listado de participantes emitido por la COPADEH, de fecha 26 de marzo de 2026, que corresponde a la siguiente actividad: Taller de socialización de la PPPPDDHH.</w:t>
      </w:r>
    </w:p>
    <w:p w:rsidRPr="000A4C96" w:rsidR="003233D8" w:rsidP="000A4C96" w:rsidRDefault="003233D8" w14:paraId="5024ABE7" w14:textId="134F3C16">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participantes emitido por la COPADEH, de fecha 29 de abril de 2026, que corresponde a la siguiente actividad: Taller de socialización de la PPPPDDHH.</w:t>
      </w:r>
    </w:p>
    <w:p w:rsidRPr="000A4C96" w:rsidR="003233D8" w:rsidP="000A4C96" w:rsidRDefault="003233D8" w14:paraId="060D6DFD" w14:textId="3E9D917F">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participantes emitido por la COPADEH, de fecha 30 de abril de 2026, que corresponde a la siguiente actividad: Taller de socialización de la PPPPDDHH.</w:t>
      </w:r>
    </w:p>
    <w:p w:rsidRPr="000A4C96" w:rsidR="003233D8" w:rsidP="000A4C96" w:rsidRDefault="003233D8" w14:paraId="2F696CDB" w14:textId="5C83CEEA">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participantes emitido por la COPADEH, de fecha 11 de junio de 2026, que corresponde a la siguiente actividad: Taller Línea 1543.</w:t>
      </w:r>
    </w:p>
    <w:p w:rsidRPr="000A4C96" w:rsidR="00CD0A8A" w:rsidP="000A4C96" w:rsidRDefault="00CD0A8A" w14:paraId="0144DF8F" w14:textId="70F344AE">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participantes emitido por la COPADEH, de fecha 24 de junio de 2026, que corresponde a la siguiente actividad: Taller de socialización de la PPPPDDHH.</w:t>
      </w:r>
    </w:p>
    <w:p w:rsidRPr="000A4C96" w:rsidR="00CD0A8A" w:rsidP="000A4C96" w:rsidRDefault="009A2EAD" w14:paraId="0CA717B3" w14:textId="78FAFA98">
      <w:pPr>
        <w:pStyle w:val="Prrafodelista"/>
        <w:numPr>
          <w:ilvl w:val="0"/>
          <w:numId w:val="22"/>
        </w:numPr>
        <w:spacing w:after="200" w:line="360" w:lineRule="auto"/>
        <w:jc w:val="both"/>
        <w:rPr>
          <w:rFonts w:eastAsia="Arial" w:asciiTheme="majorHAnsi" w:hAnsiTheme="majorHAnsi" w:cstheme="majorHAnsi"/>
        </w:rPr>
      </w:pPr>
      <w:r>
        <w:rPr>
          <w:rFonts w:eastAsia="Arial" w:asciiTheme="majorHAnsi" w:hAnsiTheme="majorHAnsi" w:cstheme="majorHAnsi"/>
        </w:rPr>
        <w:t>Listado de reunión de trabajo emitido por el Ministerio Público, de fecha 03 de julio de 2026, que corresponde al siguiente tema: Socialización de Política Pública de Personas Defensoras de DDHH.</w:t>
      </w:r>
    </w:p>
    <w:p w:rsidRPr="000A4C96" w:rsidR="00187221" w:rsidP="000A4C96" w:rsidRDefault="00187221" w14:paraId="65B2E241" w14:textId="0D22AD0D">
      <w:pPr>
        <w:pStyle w:val="Prrafodelista"/>
        <w:spacing w:after="120" w:line="360" w:lineRule="auto"/>
        <w:ind w:left="1068"/>
        <w:contextualSpacing w:val="0"/>
        <w:jc w:val="both"/>
        <w:rPr>
          <w:rFonts w:asciiTheme="majorHAnsi" w:hAnsiTheme="majorHAnsi" w:cstheme="majorHAnsi"/>
        </w:rPr>
      </w:pPr>
    </w:p>
    <w:p w:rsidRPr="000A4C96" w:rsidR="004C3217" w:rsidP="000A4C96" w:rsidRDefault="004C3217" w14:paraId="5A8648C7" w14:textId="22B2BE52">
      <w:pPr>
        <w:spacing w:line="360" w:lineRule="auto"/>
        <w:jc w:val="both"/>
        <w:rPr>
          <w:rFonts w:asciiTheme="majorHAnsi" w:hAnsiTheme="majorHAnsi" w:cstheme="majorHAnsi"/>
        </w:rPr>
      </w:pPr>
    </w:p>
    <w:p w:rsidRPr="000A4C96" w:rsidR="00CC2EED" w:rsidP="000A4C96" w:rsidRDefault="00CC2EED" w14:paraId="09F8A889" w14:textId="65E2555D">
      <w:pPr>
        <w:spacing w:line="360" w:lineRule="auto"/>
        <w:jc w:val="both"/>
        <w:rPr>
          <w:rFonts w:asciiTheme="majorHAnsi" w:hAnsiTheme="majorHAnsi" w:cstheme="majorHAnsi"/>
        </w:rPr>
      </w:pPr>
    </w:p>
    <w:p w:rsidRPr="000A4C96" w:rsidR="00DC5CCD" w:rsidP="000A4C96" w:rsidRDefault="00DC5CCD" w14:paraId="36F1C36D" w14:textId="77777777">
      <w:pPr>
        <w:spacing w:line="360" w:lineRule="auto"/>
        <w:jc w:val="both"/>
        <w:rPr>
          <w:rFonts w:asciiTheme="majorHAnsi" w:hAnsiTheme="majorHAnsi" w:cstheme="majorHAnsi"/>
        </w:rPr>
      </w:pPr>
    </w:p>
    <w:p w:rsidRPr="000A4C96" w:rsidR="004C3217" w:rsidP="000A4C96" w:rsidRDefault="004C3217" w14:paraId="2F7F44B4" w14:textId="77777777">
      <w:pPr>
        <w:spacing w:line="360" w:lineRule="auto"/>
        <w:jc w:val="both"/>
        <w:rPr>
          <w:rFonts w:asciiTheme="majorHAnsi" w:hAnsiTheme="majorHAnsi" w:cstheme="majorHAnsi"/>
        </w:rPr>
      </w:pPr>
    </w:p>
    <w:bookmarkEnd w:id="0"/>
    <w:p w:rsidRPr="000A4C96" w:rsidR="00146F6A" w:rsidP="000A4C96" w:rsidRDefault="00146F6A" w14:paraId="5351219B" w14:textId="7F17E3B0">
      <w:pPr>
        <w:pStyle w:val="Prrafodelista"/>
        <w:spacing w:line="360" w:lineRule="auto"/>
        <w:ind w:left="360"/>
        <w:jc w:val="center"/>
        <w:rPr>
          <w:rFonts w:asciiTheme="majorHAnsi" w:hAnsiTheme="majorHAnsi" w:cstheme="majorHAnsi"/>
          <w:b/>
          <w:bCs/>
        </w:rPr>
      </w:pPr>
    </w:p>
    <w:sectPr w:rsidRPr="000A4C96" w:rsidR="00146F6A" w:rsidSect="0024234F">
      <w:headerReference w:type="default" r:id="rId8"/>
      <w:pgSz w:w="12240" w:h="15840" w:orient="portrait"/>
      <w:pgMar w:top="256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A21" w:rsidP="005B1EDE" w:rsidRDefault="00606A21" w14:paraId="47C72246" w14:textId="77777777">
      <w:r>
        <w:separator/>
      </w:r>
    </w:p>
  </w:endnote>
  <w:endnote w:type="continuationSeparator" w:id="0">
    <w:p w:rsidR="00606A21" w:rsidP="005B1EDE" w:rsidRDefault="00606A21" w14:paraId="29175C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A21" w:rsidP="005B1EDE" w:rsidRDefault="00606A21" w14:paraId="4C6371C3" w14:textId="77777777">
      <w:r>
        <w:separator/>
      </w:r>
    </w:p>
  </w:footnote>
  <w:footnote w:type="continuationSeparator" w:id="0">
    <w:p w:rsidR="00606A21" w:rsidP="005B1EDE" w:rsidRDefault="00606A21" w14:paraId="6A4BD7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D495B" w:rsidP="002D495B" w:rsidRDefault="003B0375" w14:paraId="008949D4" w14:textId="15689F14">
    <w:pPr>
      <w:pStyle w:val="Encabezado"/>
      <w:jc w:val="right"/>
      <w:rPr>
        <w:sz w:val="18"/>
        <w:szCs w:val="18"/>
      </w:rPr>
    </w:pPr>
    <w:r>
      <w:rPr>
        <w:noProof/>
      </w:rPr>
      <w:drawing>
        <wp:anchor distT="0" distB="0" distL="114300" distR="114300" simplePos="0" relativeHeight="251658240" behindDoc="1" locked="0" layoutInCell="1" allowOverlap="1" wp14:anchorId="2C83D141" wp14:editId="69AB6E3F">
          <wp:simplePos x="0" y="0"/>
          <wp:positionH relativeFrom="column">
            <wp:posOffset>-1080135</wp:posOffset>
          </wp:positionH>
          <wp:positionV relativeFrom="paragraph">
            <wp:posOffset>-416329</wp:posOffset>
          </wp:positionV>
          <wp:extent cx="7730836" cy="10007750"/>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2024-01.jpg"/>
                  <pic:cNvPicPr/>
                </pic:nvPicPr>
                <pic:blipFill>
                  <a:blip r:embed="rId1">
                    <a:extLst>
                      <a:ext uri="{28A0092B-C50C-407E-A947-70E740481C1C}">
                        <a14:useLocalDpi xmlns:a14="http://schemas.microsoft.com/office/drawing/2010/main" val="0"/>
                      </a:ext>
                    </a:extLst>
                  </a:blip>
                  <a:stretch>
                    <a:fillRect/>
                  </a:stretch>
                </pic:blipFill>
                <pic:spPr>
                  <a:xfrm>
                    <a:off x="0" y="0"/>
                    <a:ext cx="7737453" cy="10016316"/>
                  </a:xfrm>
                  <a:prstGeom prst="rect">
                    <a:avLst/>
                  </a:prstGeom>
                </pic:spPr>
              </pic:pic>
            </a:graphicData>
          </a:graphic>
          <wp14:sizeRelH relativeFrom="page">
            <wp14:pctWidth>0</wp14:pctWidth>
          </wp14:sizeRelH>
          <wp14:sizeRelV relativeFrom="page">
            <wp14:pctHeight>0</wp14:pctHeight>
          </wp14:sizeRelV>
        </wp:anchor>
      </w:drawing>
    </w:r>
    <w:bookmarkStart w:name="_Hlk220333704" w:id="1"/>
    <w:bookmarkStart w:name="_Hlk220333705" w:id="2"/>
  </w:p>
  <w:p w:rsidR="00913BDF" w:rsidP="00913BDF" w:rsidRDefault="00D126E7" w14:paraId="13E5195D" w14:textId="08A20213">
    <w:pPr>
      <w:pStyle w:val="Encabezado"/>
      <w:jc w:val="right"/>
    </w:pPr>
    <w:r>
      <w:rPr>
        <w:sz w:val="18"/>
        <w:szCs w:val="18"/>
      </w:rPr>
      <w:t xml:space="preserve"> </w:t>
    </w:r>
    <w:r w:rsidR="00913BDF">
      <w:rPr>
        <w:sz w:val="18"/>
        <w:szCs w:val="18"/>
      </w:rPr>
      <w:t xml:space="preserve">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12B"/>
    <w:multiLevelType w:val="hybridMultilevel"/>
    <w:tmpl w:val="DECE0A62"/>
    <w:lvl w:ilvl="0" w:tplc="100A0005">
      <w:start w:val="1"/>
      <w:numFmt w:val="bullet"/>
      <w:lvlText w:val=""/>
      <w:lvlJc w:val="left"/>
      <w:pPr>
        <w:ind w:left="720" w:hanging="360"/>
      </w:pPr>
      <w:rPr>
        <w:rFonts w:hint="default" w:ascii="Wingdings" w:hAnsi="Wingdings"/>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1" w15:restartNumberingAfterBreak="0">
    <w:nsid w:val="0A563484"/>
    <w:multiLevelType w:val="hybridMultilevel"/>
    <w:tmpl w:val="EA44CD46"/>
    <w:lvl w:ilvl="0" w:tplc="7556CE2A">
      <w:start w:val="1"/>
      <w:numFmt w:val="bullet"/>
      <w:lvlText w:val="•"/>
      <w:lvlJc w:val="left"/>
      <w:pPr>
        <w:ind w:left="460" w:hanging="260"/>
      </w:pPr>
    </w:lvl>
    <w:lvl w:ilvl="1" w:tplc="C28268BE">
      <w:numFmt w:val="decimal"/>
      <w:lvlText w:val=""/>
      <w:lvlJc w:val="left"/>
    </w:lvl>
    <w:lvl w:ilvl="2" w:tplc="9A120CB4">
      <w:numFmt w:val="decimal"/>
      <w:lvlText w:val=""/>
      <w:lvlJc w:val="left"/>
    </w:lvl>
    <w:lvl w:ilvl="3" w:tplc="93E65774">
      <w:numFmt w:val="decimal"/>
      <w:lvlText w:val=""/>
      <w:lvlJc w:val="left"/>
    </w:lvl>
    <w:lvl w:ilvl="4" w:tplc="681EA64C">
      <w:numFmt w:val="decimal"/>
      <w:lvlText w:val=""/>
      <w:lvlJc w:val="left"/>
    </w:lvl>
    <w:lvl w:ilvl="5" w:tplc="66183F48">
      <w:numFmt w:val="decimal"/>
      <w:lvlText w:val=""/>
      <w:lvlJc w:val="left"/>
    </w:lvl>
    <w:lvl w:ilvl="6" w:tplc="40FA1F9A">
      <w:numFmt w:val="decimal"/>
      <w:lvlText w:val=""/>
      <w:lvlJc w:val="left"/>
    </w:lvl>
    <w:lvl w:ilvl="7" w:tplc="AE4299A6">
      <w:numFmt w:val="decimal"/>
      <w:lvlText w:val=""/>
      <w:lvlJc w:val="left"/>
    </w:lvl>
    <w:lvl w:ilvl="8" w:tplc="1E9CB258">
      <w:numFmt w:val="decimal"/>
      <w:lvlText w:val=""/>
      <w:lvlJc w:val="left"/>
    </w:lvl>
  </w:abstractNum>
  <w:abstractNum w:abstractNumId="2" w15:restartNumberingAfterBreak="0">
    <w:nsid w:val="20AE70F6"/>
    <w:multiLevelType w:val="hybridMultilevel"/>
    <w:tmpl w:val="914E07A6"/>
    <w:lvl w:ilvl="0" w:tplc="100A0001">
      <w:start w:val="1"/>
      <w:numFmt w:val="bullet"/>
      <w:lvlText w:val=""/>
      <w:lvlJc w:val="left"/>
      <w:pPr>
        <w:ind w:left="360" w:hanging="360"/>
      </w:pPr>
      <w:rPr>
        <w:rFonts w:hint="default" w:ascii="Symbol" w:hAnsi="Symbol"/>
      </w:rPr>
    </w:lvl>
    <w:lvl w:ilvl="1" w:tplc="100A0003" w:tentative="1">
      <w:start w:val="1"/>
      <w:numFmt w:val="bullet"/>
      <w:lvlText w:val="o"/>
      <w:lvlJc w:val="left"/>
      <w:pPr>
        <w:ind w:left="1080" w:hanging="360"/>
      </w:pPr>
      <w:rPr>
        <w:rFonts w:hint="default" w:ascii="Courier New" w:hAnsi="Courier New" w:cs="Courier New"/>
      </w:rPr>
    </w:lvl>
    <w:lvl w:ilvl="2" w:tplc="100A0005" w:tentative="1">
      <w:start w:val="1"/>
      <w:numFmt w:val="bullet"/>
      <w:lvlText w:val=""/>
      <w:lvlJc w:val="left"/>
      <w:pPr>
        <w:ind w:left="1800" w:hanging="360"/>
      </w:pPr>
      <w:rPr>
        <w:rFonts w:hint="default" w:ascii="Wingdings" w:hAnsi="Wingdings"/>
      </w:rPr>
    </w:lvl>
    <w:lvl w:ilvl="3" w:tplc="100A0001" w:tentative="1">
      <w:start w:val="1"/>
      <w:numFmt w:val="bullet"/>
      <w:lvlText w:val=""/>
      <w:lvlJc w:val="left"/>
      <w:pPr>
        <w:ind w:left="2520" w:hanging="360"/>
      </w:pPr>
      <w:rPr>
        <w:rFonts w:hint="default" w:ascii="Symbol" w:hAnsi="Symbol"/>
      </w:rPr>
    </w:lvl>
    <w:lvl w:ilvl="4" w:tplc="100A0003" w:tentative="1">
      <w:start w:val="1"/>
      <w:numFmt w:val="bullet"/>
      <w:lvlText w:val="o"/>
      <w:lvlJc w:val="left"/>
      <w:pPr>
        <w:ind w:left="3240" w:hanging="360"/>
      </w:pPr>
      <w:rPr>
        <w:rFonts w:hint="default" w:ascii="Courier New" w:hAnsi="Courier New" w:cs="Courier New"/>
      </w:rPr>
    </w:lvl>
    <w:lvl w:ilvl="5" w:tplc="100A0005" w:tentative="1">
      <w:start w:val="1"/>
      <w:numFmt w:val="bullet"/>
      <w:lvlText w:val=""/>
      <w:lvlJc w:val="left"/>
      <w:pPr>
        <w:ind w:left="3960" w:hanging="360"/>
      </w:pPr>
      <w:rPr>
        <w:rFonts w:hint="default" w:ascii="Wingdings" w:hAnsi="Wingdings"/>
      </w:rPr>
    </w:lvl>
    <w:lvl w:ilvl="6" w:tplc="100A0001" w:tentative="1">
      <w:start w:val="1"/>
      <w:numFmt w:val="bullet"/>
      <w:lvlText w:val=""/>
      <w:lvlJc w:val="left"/>
      <w:pPr>
        <w:ind w:left="4680" w:hanging="360"/>
      </w:pPr>
      <w:rPr>
        <w:rFonts w:hint="default" w:ascii="Symbol" w:hAnsi="Symbol"/>
      </w:rPr>
    </w:lvl>
    <w:lvl w:ilvl="7" w:tplc="100A0003" w:tentative="1">
      <w:start w:val="1"/>
      <w:numFmt w:val="bullet"/>
      <w:lvlText w:val="o"/>
      <w:lvlJc w:val="left"/>
      <w:pPr>
        <w:ind w:left="5400" w:hanging="360"/>
      </w:pPr>
      <w:rPr>
        <w:rFonts w:hint="default" w:ascii="Courier New" w:hAnsi="Courier New" w:cs="Courier New"/>
      </w:rPr>
    </w:lvl>
    <w:lvl w:ilvl="8" w:tplc="100A0005" w:tentative="1">
      <w:start w:val="1"/>
      <w:numFmt w:val="bullet"/>
      <w:lvlText w:val=""/>
      <w:lvlJc w:val="left"/>
      <w:pPr>
        <w:ind w:left="6120" w:hanging="360"/>
      </w:pPr>
      <w:rPr>
        <w:rFonts w:hint="default" w:ascii="Wingdings" w:hAnsi="Wingdings"/>
      </w:rPr>
    </w:lvl>
  </w:abstractNum>
  <w:abstractNum w:abstractNumId="3" w15:restartNumberingAfterBreak="0">
    <w:nsid w:val="29096CD2"/>
    <w:multiLevelType w:val="hybridMultilevel"/>
    <w:tmpl w:val="9788DB66"/>
    <w:lvl w:ilvl="0" w:tplc="0F4C1B1C">
      <w:start w:val="1"/>
      <w:numFmt w:val="decimal"/>
      <w:lvlText w:val="%1."/>
      <w:lvlJc w:val="left"/>
      <w:pPr>
        <w:ind w:left="360" w:hanging="360"/>
      </w:pPr>
      <w:rPr>
        <w:b/>
        <w:bCs/>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4" w15:restartNumberingAfterBreak="0">
    <w:nsid w:val="2D3A4F02"/>
    <w:multiLevelType w:val="hybridMultilevel"/>
    <w:tmpl w:val="98185CF8"/>
    <w:lvl w:ilvl="0" w:tplc="100A000D">
      <w:start w:val="1"/>
      <w:numFmt w:val="bullet"/>
      <w:lvlText w:val=""/>
      <w:lvlJc w:val="left"/>
      <w:pPr>
        <w:ind w:left="360" w:hanging="360"/>
      </w:pPr>
      <w:rPr>
        <w:rFonts w:hint="default" w:ascii="Wingdings" w:hAnsi="Wingdings"/>
      </w:rPr>
    </w:lvl>
    <w:lvl w:ilvl="1" w:tplc="100A0003" w:tentative="1">
      <w:start w:val="1"/>
      <w:numFmt w:val="bullet"/>
      <w:lvlText w:val="o"/>
      <w:lvlJc w:val="left"/>
      <w:pPr>
        <w:ind w:left="1080" w:hanging="360"/>
      </w:pPr>
      <w:rPr>
        <w:rFonts w:hint="default" w:ascii="Courier New" w:hAnsi="Courier New" w:cs="Courier New"/>
      </w:rPr>
    </w:lvl>
    <w:lvl w:ilvl="2" w:tplc="100A0005" w:tentative="1">
      <w:start w:val="1"/>
      <w:numFmt w:val="bullet"/>
      <w:lvlText w:val=""/>
      <w:lvlJc w:val="left"/>
      <w:pPr>
        <w:ind w:left="1800" w:hanging="360"/>
      </w:pPr>
      <w:rPr>
        <w:rFonts w:hint="default" w:ascii="Wingdings" w:hAnsi="Wingdings"/>
      </w:rPr>
    </w:lvl>
    <w:lvl w:ilvl="3" w:tplc="100A0001" w:tentative="1">
      <w:start w:val="1"/>
      <w:numFmt w:val="bullet"/>
      <w:lvlText w:val=""/>
      <w:lvlJc w:val="left"/>
      <w:pPr>
        <w:ind w:left="2520" w:hanging="360"/>
      </w:pPr>
      <w:rPr>
        <w:rFonts w:hint="default" w:ascii="Symbol" w:hAnsi="Symbol"/>
      </w:rPr>
    </w:lvl>
    <w:lvl w:ilvl="4" w:tplc="100A0003" w:tentative="1">
      <w:start w:val="1"/>
      <w:numFmt w:val="bullet"/>
      <w:lvlText w:val="o"/>
      <w:lvlJc w:val="left"/>
      <w:pPr>
        <w:ind w:left="3240" w:hanging="360"/>
      </w:pPr>
      <w:rPr>
        <w:rFonts w:hint="default" w:ascii="Courier New" w:hAnsi="Courier New" w:cs="Courier New"/>
      </w:rPr>
    </w:lvl>
    <w:lvl w:ilvl="5" w:tplc="100A0005" w:tentative="1">
      <w:start w:val="1"/>
      <w:numFmt w:val="bullet"/>
      <w:lvlText w:val=""/>
      <w:lvlJc w:val="left"/>
      <w:pPr>
        <w:ind w:left="3960" w:hanging="360"/>
      </w:pPr>
      <w:rPr>
        <w:rFonts w:hint="default" w:ascii="Wingdings" w:hAnsi="Wingdings"/>
      </w:rPr>
    </w:lvl>
    <w:lvl w:ilvl="6" w:tplc="100A0001" w:tentative="1">
      <w:start w:val="1"/>
      <w:numFmt w:val="bullet"/>
      <w:lvlText w:val=""/>
      <w:lvlJc w:val="left"/>
      <w:pPr>
        <w:ind w:left="4680" w:hanging="360"/>
      </w:pPr>
      <w:rPr>
        <w:rFonts w:hint="default" w:ascii="Symbol" w:hAnsi="Symbol"/>
      </w:rPr>
    </w:lvl>
    <w:lvl w:ilvl="7" w:tplc="100A0003" w:tentative="1">
      <w:start w:val="1"/>
      <w:numFmt w:val="bullet"/>
      <w:lvlText w:val="o"/>
      <w:lvlJc w:val="left"/>
      <w:pPr>
        <w:ind w:left="5400" w:hanging="360"/>
      </w:pPr>
      <w:rPr>
        <w:rFonts w:hint="default" w:ascii="Courier New" w:hAnsi="Courier New" w:cs="Courier New"/>
      </w:rPr>
    </w:lvl>
    <w:lvl w:ilvl="8" w:tplc="100A0005" w:tentative="1">
      <w:start w:val="1"/>
      <w:numFmt w:val="bullet"/>
      <w:lvlText w:val=""/>
      <w:lvlJc w:val="left"/>
      <w:pPr>
        <w:ind w:left="6120" w:hanging="360"/>
      </w:pPr>
      <w:rPr>
        <w:rFonts w:hint="default" w:ascii="Wingdings" w:hAnsi="Wingdings"/>
      </w:rPr>
    </w:lvl>
  </w:abstractNum>
  <w:abstractNum w:abstractNumId="5" w15:restartNumberingAfterBreak="0">
    <w:nsid w:val="388B70D8"/>
    <w:multiLevelType w:val="hybridMultilevel"/>
    <w:tmpl w:val="C80872A8"/>
    <w:lvl w:ilvl="0" w:tplc="100A0001">
      <w:start w:val="1"/>
      <w:numFmt w:val="bullet"/>
      <w:lvlText w:val=""/>
      <w:lvlJc w:val="left"/>
      <w:pPr>
        <w:ind w:left="360" w:hanging="360"/>
      </w:pPr>
      <w:rPr>
        <w:rFonts w:hint="default" w:ascii="Symbol" w:hAnsi="Symbol"/>
      </w:rPr>
    </w:lvl>
    <w:lvl w:ilvl="1" w:tplc="100A0003" w:tentative="1">
      <w:start w:val="1"/>
      <w:numFmt w:val="bullet"/>
      <w:lvlText w:val="o"/>
      <w:lvlJc w:val="left"/>
      <w:pPr>
        <w:ind w:left="1080" w:hanging="360"/>
      </w:pPr>
      <w:rPr>
        <w:rFonts w:hint="default" w:ascii="Courier New" w:hAnsi="Courier New" w:cs="Courier New"/>
      </w:rPr>
    </w:lvl>
    <w:lvl w:ilvl="2" w:tplc="100A0005" w:tentative="1">
      <w:start w:val="1"/>
      <w:numFmt w:val="bullet"/>
      <w:lvlText w:val=""/>
      <w:lvlJc w:val="left"/>
      <w:pPr>
        <w:ind w:left="1800" w:hanging="360"/>
      </w:pPr>
      <w:rPr>
        <w:rFonts w:hint="default" w:ascii="Wingdings" w:hAnsi="Wingdings"/>
      </w:rPr>
    </w:lvl>
    <w:lvl w:ilvl="3" w:tplc="100A0001" w:tentative="1">
      <w:start w:val="1"/>
      <w:numFmt w:val="bullet"/>
      <w:lvlText w:val=""/>
      <w:lvlJc w:val="left"/>
      <w:pPr>
        <w:ind w:left="2520" w:hanging="360"/>
      </w:pPr>
      <w:rPr>
        <w:rFonts w:hint="default" w:ascii="Symbol" w:hAnsi="Symbol"/>
      </w:rPr>
    </w:lvl>
    <w:lvl w:ilvl="4" w:tplc="100A0003" w:tentative="1">
      <w:start w:val="1"/>
      <w:numFmt w:val="bullet"/>
      <w:lvlText w:val="o"/>
      <w:lvlJc w:val="left"/>
      <w:pPr>
        <w:ind w:left="3240" w:hanging="360"/>
      </w:pPr>
      <w:rPr>
        <w:rFonts w:hint="default" w:ascii="Courier New" w:hAnsi="Courier New" w:cs="Courier New"/>
      </w:rPr>
    </w:lvl>
    <w:lvl w:ilvl="5" w:tplc="100A0005" w:tentative="1">
      <w:start w:val="1"/>
      <w:numFmt w:val="bullet"/>
      <w:lvlText w:val=""/>
      <w:lvlJc w:val="left"/>
      <w:pPr>
        <w:ind w:left="3960" w:hanging="360"/>
      </w:pPr>
      <w:rPr>
        <w:rFonts w:hint="default" w:ascii="Wingdings" w:hAnsi="Wingdings"/>
      </w:rPr>
    </w:lvl>
    <w:lvl w:ilvl="6" w:tplc="100A0001" w:tentative="1">
      <w:start w:val="1"/>
      <w:numFmt w:val="bullet"/>
      <w:lvlText w:val=""/>
      <w:lvlJc w:val="left"/>
      <w:pPr>
        <w:ind w:left="4680" w:hanging="360"/>
      </w:pPr>
      <w:rPr>
        <w:rFonts w:hint="default" w:ascii="Symbol" w:hAnsi="Symbol"/>
      </w:rPr>
    </w:lvl>
    <w:lvl w:ilvl="7" w:tplc="100A0003" w:tentative="1">
      <w:start w:val="1"/>
      <w:numFmt w:val="bullet"/>
      <w:lvlText w:val="o"/>
      <w:lvlJc w:val="left"/>
      <w:pPr>
        <w:ind w:left="5400" w:hanging="360"/>
      </w:pPr>
      <w:rPr>
        <w:rFonts w:hint="default" w:ascii="Courier New" w:hAnsi="Courier New" w:cs="Courier New"/>
      </w:rPr>
    </w:lvl>
    <w:lvl w:ilvl="8" w:tplc="100A0005" w:tentative="1">
      <w:start w:val="1"/>
      <w:numFmt w:val="bullet"/>
      <w:lvlText w:val=""/>
      <w:lvlJc w:val="left"/>
      <w:pPr>
        <w:ind w:left="6120" w:hanging="360"/>
      </w:pPr>
      <w:rPr>
        <w:rFonts w:hint="default" w:ascii="Wingdings" w:hAnsi="Wingdings"/>
      </w:rPr>
    </w:lvl>
  </w:abstractNum>
  <w:abstractNum w:abstractNumId="6" w15:restartNumberingAfterBreak="0">
    <w:nsid w:val="3CF82869"/>
    <w:multiLevelType w:val="hybridMultilevel"/>
    <w:tmpl w:val="82486FD0"/>
    <w:lvl w:ilvl="0" w:tplc="100A0001">
      <w:start w:val="1"/>
      <w:numFmt w:val="bullet"/>
      <w:lvlText w:val=""/>
      <w:lvlJc w:val="left"/>
      <w:pPr>
        <w:ind w:left="720" w:hanging="360"/>
      </w:pPr>
      <w:rPr>
        <w:rFonts w:hint="default" w:ascii="Symbol" w:hAnsi="Symbol"/>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7" w15:restartNumberingAfterBreak="0">
    <w:nsid w:val="3DF04F4D"/>
    <w:multiLevelType w:val="hybridMultilevel"/>
    <w:tmpl w:val="5D20EAE8"/>
    <w:lvl w:ilvl="0" w:tplc="100A0001">
      <w:start w:val="1"/>
      <w:numFmt w:val="bullet"/>
      <w:lvlText w:val=""/>
      <w:lvlJc w:val="left"/>
      <w:pPr>
        <w:ind w:left="720" w:hanging="360"/>
      </w:pPr>
      <w:rPr>
        <w:rFonts w:hint="default" w:ascii="Symbol" w:hAnsi="Symbol"/>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8" w15:restartNumberingAfterBreak="0">
    <w:nsid w:val="3FB12686"/>
    <w:multiLevelType w:val="hybridMultilevel"/>
    <w:tmpl w:val="7186868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4C301643"/>
    <w:multiLevelType w:val="hybridMultilevel"/>
    <w:tmpl w:val="5A608AF2"/>
    <w:lvl w:ilvl="0" w:tplc="100A0001">
      <w:start w:val="1"/>
      <w:numFmt w:val="bullet"/>
      <w:lvlText w:val=""/>
      <w:lvlJc w:val="left"/>
      <w:pPr>
        <w:ind w:left="720" w:hanging="360"/>
      </w:pPr>
      <w:rPr>
        <w:rFonts w:hint="default" w:ascii="Symbol" w:hAnsi="Symbol"/>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10" w15:restartNumberingAfterBreak="0">
    <w:nsid w:val="4FDB5292"/>
    <w:multiLevelType w:val="hybridMultilevel"/>
    <w:tmpl w:val="81144468"/>
    <w:lvl w:ilvl="0" w:tplc="100A000D">
      <w:start w:val="1"/>
      <w:numFmt w:val="bullet"/>
      <w:lvlText w:val=""/>
      <w:lvlJc w:val="left"/>
      <w:pPr>
        <w:ind w:left="360" w:hanging="360"/>
      </w:pPr>
      <w:rPr>
        <w:rFonts w:hint="default" w:ascii="Wingdings" w:hAnsi="Wingdings"/>
      </w:rPr>
    </w:lvl>
    <w:lvl w:ilvl="1" w:tplc="100A0003" w:tentative="1">
      <w:start w:val="1"/>
      <w:numFmt w:val="bullet"/>
      <w:lvlText w:val="o"/>
      <w:lvlJc w:val="left"/>
      <w:pPr>
        <w:ind w:left="1080" w:hanging="360"/>
      </w:pPr>
      <w:rPr>
        <w:rFonts w:hint="default" w:ascii="Courier New" w:hAnsi="Courier New" w:cs="Courier New"/>
      </w:rPr>
    </w:lvl>
    <w:lvl w:ilvl="2" w:tplc="100A0005" w:tentative="1">
      <w:start w:val="1"/>
      <w:numFmt w:val="bullet"/>
      <w:lvlText w:val=""/>
      <w:lvlJc w:val="left"/>
      <w:pPr>
        <w:ind w:left="1800" w:hanging="360"/>
      </w:pPr>
      <w:rPr>
        <w:rFonts w:hint="default" w:ascii="Wingdings" w:hAnsi="Wingdings"/>
      </w:rPr>
    </w:lvl>
    <w:lvl w:ilvl="3" w:tplc="100A0001" w:tentative="1">
      <w:start w:val="1"/>
      <w:numFmt w:val="bullet"/>
      <w:lvlText w:val=""/>
      <w:lvlJc w:val="left"/>
      <w:pPr>
        <w:ind w:left="2520" w:hanging="360"/>
      </w:pPr>
      <w:rPr>
        <w:rFonts w:hint="default" w:ascii="Symbol" w:hAnsi="Symbol"/>
      </w:rPr>
    </w:lvl>
    <w:lvl w:ilvl="4" w:tplc="100A0003" w:tentative="1">
      <w:start w:val="1"/>
      <w:numFmt w:val="bullet"/>
      <w:lvlText w:val="o"/>
      <w:lvlJc w:val="left"/>
      <w:pPr>
        <w:ind w:left="3240" w:hanging="360"/>
      </w:pPr>
      <w:rPr>
        <w:rFonts w:hint="default" w:ascii="Courier New" w:hAnsi="Courier New" w:cs="Courier New"/>
      </w:rPr>
    </w:lvl>
    <w:lvl w:ilvl="5" w:tplc="100A0005" w:tentative="1">
      <w:start w:val="1"/>
      <w:numFmt w:val="bullet"/>
      <w:lvlText w:val=""/>
      <w:lvlJc w:val="left"/>
      <w:pPr>
        <w:ind w:left="3960" w:hanging="360"/>
      </w:pPr>
      <w:rPr>
        <w:rFonts w:hint="default" w:ascii="Wingdings" w:hAnsi="Wingdings"/>
      </w:rPr>
    </w:lvl>
    <w:lvl w:ilvl="6" w:tplc="100A0001" w:tentative="1">
      <w:start w:val="1"/>
      <w:numFmt w:val="bullet"/>
      <w:lvlText w:val=""/>
      <w:lvlJc w:val="left"/>
      <w:pPr>
        <w:ind w:left="4680" w:hanging="360"/>
      </w:pPr>
      <w:rPr>
        <w:rFonts w:hint="default" w:ascii="Symbol" w:hAnsi="Symbol"/>
      </w:rPr>
    </w:lvl>
    <w:lvl w:ilvl="7" w:tplc="100A0003" w:tentative="1">
      <w:start w:val="1"/>
      <w:numFmt w:val="bullet"/>
      <w:lvlText w:val="o"/>
      <w:lvlJc w:val="left"/>
      <w:pPr>
        <w:ind w:left="5400" w:hanging="360"/>
      </w:pPr>
      <w:rPr>
        <w:rFonts w:hint="default" w:ascii="Courier New" w:hAnsi="Courier New" w:cs="Courier New"/>
      </w:rPr>
    </w:lvl>
    <w:lvl w:ilvl="8" w:tplc="100A0005" w:tentative="1">
      <w:start w:val="1"/>
      <w:numFmt w:val="bullet"/>
      <w:lvlText w:val=""/>
      <w:lvlJc w:val="left"/>
      <w:pPr>
        <w:ind w:left="6120" w:hanging="360"/>
      </w:pPr>
      <w:rPr>
        <w:rFonts w:hint="default" w:ascii="Wingdings" w:hAnsi="Wingdings"/>
      </w:rPr>
    </w:lvl>
  </w:abstractNum>
  <w:abstractNum w:abstractNumId="11" w15:restartNumberingAfterBreak="0">
    <w:nsid w:val="52890BA6"/>
    <w:multiLevelType w:val="hybridMultilevel"/>
    <w:tmpl w:val="2F68EE66"/>
    <w:lvl w:ilvl="0" w:tplc="40CC21E0">
      <w:start w:val="1"/>
      <w:numFmt w:val="bullet"/>
      <w:lvlText w:val="•"/>
      <w:lvlJc w:val="left"/>
      <w:pPr>
        <w:ind w:left="720" w:hanging="360"/>
      </w:pPr>
    </w:lvl>
    <w:lvl w:ilvl="1" w:tplc="03AE770C">
      <w:numFmt w:val="decimal"/>
      <w:lvlText w:val=""/>
      <w:lvlJc w:val="left"/>
    </w:lvl>
    <w:lvl w:ilvl="2" w:tplc="AAB8EB7E">
      <w:numFmt w:val="decimal"/>
      <w:lvlText w:val=""/>
      <w:lvlJc w:val="left"/>
    </w:lvl>
    <w:lvl w:ilvl="3" w:tplc="05AAB4AE">
      <w:numFmt w:val="decimal"/>
      <w:lvlText w:val=""/>
      <w:lvlJc w:val="left"/>
    </w:lvl>
    <w:lvl w:ilvl="4" w:tplc="2E446488">
      <w:numFmt w:val="decimal"/>
      <w:lvlText w:val=""/>
      <w:lvlJc w:val="left"/>
    </w:lvl>
    <w:lvl w:ilvl="5" w:tplc="46741F7A">
      <w:numFmt w:val="decimal"/>
      <w:lvlText w:val=""/>
      <w:lvlJc w:val="left"/>
    </w:lvl>
    <w:lvl w:ilvl="6" w:tplc="0CE2AF86">
      <w:numFmt w:val="decimal"/>
      <w:lvlText w:val=""/>
      <w:lvlJc w:val="left"/>
    </w:lvl>
    <w:lvl w:ilvl="7" w:tplc="1B2003CE">
      <w:numFmt w:val="decimal"/>
      <w:lvlText w:val=""/>
      <w:lvlJc w:val="left"/>
    </w:lvl>
    <w:lvl w:ilvl="8" w:tplc="6186E5C0">
      <w:numFmt w:val="decimal"/>
      <w:lvlText w:val=""/>
      <w:lvlJc w:val="left"/>
    </w:lvl>
  </w:abstractNum>
  <w:abstractNum w:abstractNumId="12" w15:restartNumberingAfterBreak="0">
    <w:nsid w:val="5F7B2AF4"/>
    <w:multiLevelType w:val="multilevel"/>
    <w:tmpl w:val="2CFE8D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09E47A7"/>
    <w:multiLevelType w:val="hybridMultilevel"/>
    <w:tmpl w:val="11786680"/>
    <w:lvl w:ilvl="0" w:tplc="100A0005">
      <w:start w:val="1"/>
      <w:numFmt w:val="bullet"/>
      <w:lvlText w:val=""/>
      <w:lvlJc w:val="left"/>
      <w:pPr>
        <w:ind w:left="1080" w:hanging="360"/>
      </w:pPr>
      <w:rPr>
        <w:rFonts w:hint="default" w:ascii="Wingdings" w:hAnsi="Wingdings"/>
      </w:rPr>
    </w:lvl>
    <w:lvl w:ilvl="1" w:tplc="100A0003" w:tentative="1">
      <w:start w:val="1"/>
      <w:numFmt w:val="bullet"/>
      <w:lvlText w:val="o"/>
      <w:lvlJc w:val="left"/>
      <w:pPr>
        <w:ind w:left="1800" w:hanging="360"/>
      </w:pPr>
      <w:rPr>
        <w:rFonts w:hint="default" w:ascii="Courier New" w:hAnsi="Courier New" w:cs="Courier New"/>
      </w:rPr>
    </w:lvl>
    <w:lvl w:ilvl="2" w:tplc="100A0005" w:tentative="1">
      <w:start w:val="1"/>
      <w:numFmt w:val="bullet"/>
      <w:lvlText w:val=""/>
      <w:lvlJc w:val="left"/>
      <w:pPr>
        <w:ind w:left="2520" w:hanging="360"/>
      </w:pPr>
      <w:rPr>
        <w:rFonts w:hint="default" w:ascii="Wingdings" w:hAnsi="Wingdings"/>
      </w:rPr>
    </w:lvl>
    <w:lvl w:ilvl="3" w:tplc="100A0001" w:tentative="1">
      <w:start w:val="1"/>
      <w:numFmt w:val="bullet"/>
      <w:lvlText w:val=""/>
      <w:lvlJc w:val="left"/>
      <w:pPr>
        <w:ind w:left="3240" w:hanging="360"/>
      </w:pPr>
      <w:rPr>
        <w:rFonts w:hint="default" w:ascii="Symbol" w:hAnsi="Symbol"/>
      </w:rPr>
    </w:lvl>
    <w:lvl w:ilvl="4" w:tplc="100A0003" w:tentative="1">
      <w:start w:val="1"/>
      <w:numFmt w:val="bullet"/>
      <w:lvlText w:val="o"/>
      <w:lvlJc w:val="left"/>
      <w:pPr>
        <w:ind w:left="3960" w:hanging="360"/>
      </w:pPr>
      <w:rPr>
        <w:rFonts w:hint="default" w:ascii="Courier New" w:hAnsi="Courier New" w:cs="Courier New"/>
      </w:rPr>
    </w:lvl>
    <w:lvl w:ilvl="5" w:tplc="100A0005" w:tentative="1">
      <w:start w:val="1"/>
      <w:numFmt w:val="bullet"/>
      <w:lvlText w:val=""/>
      <w:lvlJc w:val="left"/>
      <w:pPr>
        <w:ind w:left="4680" w:hanging="360"/>
      </w:pPr>
      <w:rPr>
        <w:rFonts w:hint="default" w:ascii="Wingdings" w:hAnsi="Wingdings"/>
      </w:rPr>
    </w:lvl>
    <w:lvl w:ilvl="6" w:tplc="100A0001" w:tentative="1">
      <w:start w:val="1"/>
      <w:numFmt w:val="bullet"/>
      <w:lvlText w:val=""/>
      <w:lvlJc w:val="left"/>
      <w:pPr>
        <w:ind w:left="5400" w:hanging="360"/>
      </w:pPr>
      <w:rPr>
        <w:rFonts w:hint="default" w:ascii="Symbol" w:hAnsi="Symbol"/>
      </w:rPr>
    </w:lvl>
    <w:lvl w:ilvl="7" w:tplc="100A0003" w:tentative="1">
      <w:start w:val="1"/>
      <w:numFmt w:val="bullet"/>
      <w:lvlText w:val="o"/>
      <w:lvlJc w:val="left"/>
      <w:pPr>
        <w:ind w:left="6120" w:hanging="360"/>
      </w:pPr>
      <w:rPr>
        <w:rFonts w:hint="default" w:ascii="Courier New" w:hAnsi="Courier New" w:cs="Courier New"/>
      </w:rPr>
    </w:lvl>
    <w:lvl w:ilvl="8" w:tplc="100A0005" w:tentative="1">
      <w:start w:val="1"/>
      <w:numFmt w:val="bullet"/>
      <w:lvlText w:val=""/>
      <w:lvlJc w:val="left"/>
      <w:pPr>
        <w:ind w:left="6840" w:hanging="360"/>
      </w:pPr>
      <w:rPr>
        <w:rFonts w:hint="default" w:ascii="Wingdings" w:hAnsi="Wingdings"/>
      </w:rPr>
    </w:lvl>
  </w:abstractNum>
  <w:abstractNum w:abstractNumId="14" w15:restartNumberingAfterBreak="0">
    <w:nsid w:val="64E86583"/>
    <w:multiLevelType w:val="hybridMultilevel"/>
    <w:tmpl w:val="4C56FCF8"/>
    <w:lvl w:ilvl="0" w:tplc="100A000D">
      <w:start w:val="1"/>
      <w:numFmt w:val="bullet"/>
      <w:lvlText w:val=""/>
      <w:lvlJc w:val="left"/>
      <w:pPr>
        <w:ind w:left="720" w:hanging="360"/>
      </w:pPr>
      <w:rPr>
        <w:rFonts w:hint="default" w:ascii="Wingdings" w:hAnsi="Wingdings"/>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15" w15:restartNumberingAfterBreak="0">
    <w:nsid w:val="66546723"/>
    <w:multiLevelType w:val="hybridMultilevel"/>
    <w:tmpl w:val="011CEF7A"/>
    <w:lvl w:ilvl="0" w:tplc="B596B73C">
      <w:start w:val="1"/>
      <w:numFmt w:val="decimal"/>
      <w:lvlText w:val="%1."/>
      <w:lvlJc w:val="left"/>
      <w:pPr>
        <w:ind w:left="360" w:hanging="360"/>
      </w:pPr>
      <w:rPr>
        <w:b/>
        <w:bCs/>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6" w15:restartNumberingAfterBreak="0">
    <w:nsid w:val="67016C03"/>
    <w:multiLevelType w:val="hybridMultilevel"/>
    <w:tmpl w:val="1AA0C1C0"/>
    <w:lvl w:ilvl="0" w:tplc="100A0001">
      <w:start w:val="1"/>
      <w:numFmt w:val="bullet"/>
      <w:lvlText w:val=""/>
      <w:lvlJc w:val="left"/>
      <w:pPr>
        <w:ind w:left="720" w:hanging="360"/>
      </w:pPr>
      <w:rPr>
        <w:rFonts w:hint="default" w:ascii="Symbol" w:hAnsi="Symbol"/>
      </w:rPr>
    </w:lvl>
    <w:lvl w:ilvl="1" w:tplc="100A0003" w:tentative="1">
      <w:start w:val="1"/>
      <w:numFmt w:val="bullet"/>
      <w:lvlText w:val="o"/>
      <w:lvlJc w:val="left"/>
      <w:pPr>
        <w:ind w:left="1440" w:hanging="360"/>
      </w:pPr>
      <w:rPr>
        <w:rFonts w:hint="default" w:ascii="Courier New" w:hAnsi="Courier New" w:cs="Courier New"/>
      </w:rPr>
    </w:lvl>
    <w:lvl w:ilvl="2" w:tplc="100A0005" w:tentative="1">
      <w:start w:val="1"/>
      <w:numFmt w:val="bullet"/>
      <w:lvlText w:val=""/>
      <w:lvlJc w:val="left"/>
      <w:pPr>
        <w:ind w:left="2160" w:hanging="360"/>
      </w:pPr>
      <w:rPr>
        <w:rFonts w:hint="default" w:ascii="Wingdings" w:hAnsi="Wingdings"/>
      </w:rPr>
    </w:lvl>
    <w:lvl w:ilvl="3" w:tplc="100A0001" w:tentative="1">
      <w:start w:val="1"/>
      <w:numFmt w:val="bullet"/>
      <w:lvlText w:val=""/>
      <w:lvlJc w:val="left"/>
      <w:pPr>
        <w:ind w:left="2880" w:hanging="360"/>
      </w:pPr>
      <w:rPr>
        <w:rFonts w:hint="default" w:ascii="Symbol" w:hAnsi="Symbol"/>
      </w:rPr>
    </w:lvl>
    <w:lvl w:ilvl="4" w:tplc="100A0003" w:tentative="1">
      <w:start w:val="1"/>
      <w:numFmt w:val="bullet"/>
      <w:lvlText w:val="o"/>
      <w:lvlJc w:val="left"/>
      <w:pPr>
        <w:ind w:left="3600" w:hanging="360"/>
      </w:pPr>
      <w:rPr>
        <w:rFonts w:hint="default" w:ascii="Courier New" w:hAnsi="Courier New" w:cs="Courier New"/>
      </w:rPr>
    </w:lvl>
    <w:lvl w:ilvl="5" w:tplc="100A0005" w:tentative="1">
      <w:start w:val="1"/>
      <w:numFmt w:val="bullet"/>
      <w:lvlText w:val=""/>
      <w:lvlJc w:val="left"/>
      <w:pPr>
        <w:ind w:left="4320" w:hanging="360"/>
      </w:pPr>
      <w:rPr>
        <w:rFonts w:hint="default" w:ascii="Wingdings" w:hAnsi="Wingdings"/>
      </w:rPr>
    </w:lvl>
    <w:lvl w:ilvl="6" w:tplc="100A0001" w:tentative="1">
      <w:start w:val="1"/>
      <w:numFmt w:val="bullet"/>
      <w:lvlText w:val=""/>
      <w:lvlJc w:val="left"/>
      <w:pPr>
        <w:ind w:left="5040" w:hanging="360"/>
      </w:pPr>
      <w:rPr>
        <w:rFonts w:hint="default" w:ascii="Symbol" w:hAnsi="Symbol"/>
      </w:rPr>
    </w:lvl>
    <w:lvl w:ilvl="7" w:tplc="100A0003" w:tentative="1">
      <w:start w:val="1"/>
      <w:numFmt w:val="bullet"/>
      <w:lvlText w:val="o"/>
      <w:lvlJc w:val="left"/>
      <w:pPr>
        <w:ind w:left="5760" w:hanging="360"/>
      </w:pPr>
      <w:rPr>
        <w:rFonts w:hint="default" w:ascii="Courier New" w:hAnsi="Courier New" w:cs="Courier New"/>
      </w:rPr>
    </w:lvl>
    <w:lvl w:ilvl="8" w:tplc="100A0005" w:tentative="1">
      <w:start w:val="1"/>
      <w:numFmt w:val="bullet"/>
      <w:lvlText w:val=""/>
      <w:lvlJc w:val="left"/>
      <w:pPr>
        <w:ind w:left="6480" w:hanging="360"/>
      </w:pPr>
      <w:rPr>
        <w:rFonts w:hint="default" w:ascii="Wingdings" w:hAnsi="Wingdings"/>
      </w:rPr>
    </w:lvl>
  </w:abstractNum>
  <w:abstractNum w:abstractNumId="17" w15:restartNumberingAfterBreak="0">
    <w:nsid w:val="68E27547"/>
    <w:multiLevelType w:val="multilevel"/>
    <w:tmpl w:val="D6D8D6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C430B2B"/>
    <w:multiLevelType w:val="hybridMultilevel"/>
    <w:tmpl w:val="6988E26E"/>
    <w:lvl w:ilvl="0" w:tplc="100A000D">
      <w:start w:val="1"/>
      <w:numFmt w:val="bullet"/>
      <w:lvlText w:val=""/>
      <w:lvlJc w:val="left"/>
      <w:pPr>
        <w:ind w:left="560" w:hanging="360"/>
      </w:pPr>
      <w:rPr>
        <w:rFonts w:hint="default" w:ascii="Wingdings" w:hAnsi="Wingdings"/>
      </w:rPr>
    </w:lvl>
    <w:lvl w:ilvl="1" w:tplc="100A0003" w:tentative="1">
      <w:start w:val="1"/>
      <w:numFmt w:val="bullet"/>
      <w:lvlText w:val="o"/>
      <w:lvlJc w:val="left"/>
      <w:pPr>
        <w:ind w:left="1280" w:hanging="360"/>
      </w:pPr>
      <w:rPr>
        <w:rFonts w:hint="default" w:ascii="Courier New" w:hAnsi="Courier New" w:cs="Courier New"/>
      </w:rPr>
    </w:lvl>
    <w:lvl w:ilvl="2" w:tplc="100A0005" w:tentative="1">
      <w:start w:val="1"/>
      <w:numFmt w:val="bullet"/>
      <w:lvlText w:val=""/>
      <w:lvlJc w:val="left"/>
      <w:pPr>
        <w:ind w:left="2000" w:hanging="360"/>
      </w:pPr>
      <w:rPr>
        <w:rFonts w:hint="default" w:ascii="Wingdings" w:hAnsi="Wingdings"/>
      </w:rPr>
    </w:lvl>
    <w:lvl w:ilvl="3" w:tplc="100A0001" w:tentative="1">
      <w:start w:val="1"/>
      <w:numFmt w:val="bullet"/>
      <w:lvlText w:val=""/>
      <w:lvlJc w:val="left"/>
      <w:pPr>
        <w:ind w:left="2720" w:hanging="360"/>
      </w:pPr>
      <w:rPr>
        <w:rFonts w:hint="default" w:ascii="Symbol" w:hAnsi="Symbol"/>
      </w:rPr>
    </w:lvl>
    <w:lvl w:ilvl="4" w:tplc="100A0003" w:tentative="1">
      <w:start w:val="1"/>
      <w:numFmt w:val="bullet"/>
      <w:lvlText w:val="o"/>
      <w:lvlJc w:val="left"/>
      <w:pPr>
        <w:ind w:left="3440" w:hanging="360"/>
      </w:pPr>
      <w:rPr>
        <w:rFonts w:hint="default" w:ascii="Courier New" w:hAnsi="Courier New" w:cs="Courier New"/>
      </w:rPr>
    </w:lvl>
    <w:lvl w:ilvl="5" w:tplc="100A0005" w:tentative="1">
      <w:start w:val="1"/>
      <w:numFmt w:val="bullet"/>
      <w:lvlText w:val=""/>
      <w:lvlJc w:val="left"/>
      <w:pPr>
        <w:ind w:left="4160" w:hanging="360"/>
      </w:pPr>
      <w:rPr>
        <w:rFonts w:hint="default" w:ascii="Wingdings" w:hAnsi="Wingdings"/>
      </w:rPr>
    </w:lvl>
    <w:lvl w:ilvl="6" w:tplc="100A0001" w:tentative="1">
      <w:start w:val="1"/>
      <w:numFmt w:val="bullet"/>
      <w:lvlText w:val=""/>
      <w:lvlJc w:val="left"/>
      <w:pPr>
        <w:ind w:left="4880" w:hanging="360"/>
      </w:pPr>
      <w:rPr>
        <w:rFonts w:hint="default" w:ascii="Symbol" w:hAnsi="Symbol"/>
      </w:rPr>
    </w:lvl>
    <w:lvl w:ilvl="7" w:tplc="100A0003" w:tentative="1">
      <w:start w:val="1"/>
      <w:numFmt w:val="bullet"/>
      <w:lvlText w:val="o"/>
      <w:lvlJc w:val="left"/>
      <w:pPr>
        <w:ind w:left="5600" w:hanging="360"/>
      </w:pPr>
      <w:rPr>
        <w:rFonts w:hint="default" w:ascii="Courier New" w:hAnsi="Courier New" w:cs="Courier New"/>
      </w:rPr>
    </w:lvl>
    <w:lvl w:ilvl="8" w:tplc="100A0005" w:tentative="1">
      <w:start w:val="1"/>
      <w:numFmt w:val="bullet"/>
      <w:lvlText w:val=""/>
      <w:lvlJc w:val="left"/>
      <w:pPr>
        <w:ind w:left="6320" w:hanging="360"/>
      </w:pPr>
      <w:rPr>
        <w:rFonts w:hint="default" w:ascii="Wingdings" w:hAnsi="Wingdings"/>
      </w:rPr>
    </w:lvl>
  </w:abstractNum>
  <w:abstractNum w:abstractNumId="19" w15:restartNumberingAfterBreak="0">
    <w:nsid w:val="71C31C19"/>
    <w:multiLevelType w:val="hybridMultilevel"/>
    <w:tmpl w:val="5D7E10D0"/>
    <w:lvl w:ilvl="0" w:tplc="608C48A6">
      <w:start w:val="1"/>
      <w:numFmt w:val="bullet"/>
      <w:lvlText w:val="•"/>
      <w:lvlJc w:val="left"/>
      <w:pPr>
        <w:ind w:left="460" w:hanging="260"/>
      </w:pPr>
    </w:lvl>
    <w:lvl w:ilvl="1" w:tplc="71346A16">
      <w:numFmt w:val="decimal"/>
      <w:lvlText w:val=""/>
      <w:lvlJc w:val="left"/>
    </w:lvl>
    <w:lvl w:ilvl="2" w:tplc="46CEA5CA">
      <w:numFmt w:val="decimal"/>
      <w:lvlText w:val=""/>
      <w:lvlJc w:val="left"/>
    </w:lvl>
    <w:lvl w:ilvl="3" w:tplc="BD66883E">
      <w:numFmt w:val="decimal"/>
      <w:lvlText w:val=""/>
      <w:lvlJc w:val="left"/>
    </w:lvl>
    <w:lvl w:ilvl="4" w:tplc="1430D13C">
      <w:numFmt w:val="decimal"/>
      <w:lvlText w:val=""/>
      <w:lvlJc w:val="left"/>
    </w:lvl>
    <w:lvl w:ilvl="5" w:tplc="9CC84FA4">
      <w:numFmt w:val="decimal"/>
      <w:lvlText w:val=""/>
      <w:lvlJc w:val="left"/>
    </w:lvl>
    <w:lvl w:ilvl="6" w:tplc="ACAE2870">
      <w:numFmt w:val="decimal"/>
      <w:lvlText w:val=""/>
      <w:lvlJc w:val="left"/>
    </w:lvl>
    <w:lvl w:ilvl="7" w:tplc="A300A0DA">
      <w:numFmt w:val="decimal"/>
      <w:lvlText w:val=""/>
      <w:lvlJc w:val="left"/>
    </w:lvl>
    <w:lvl w:ilvl="8" w:tplc="57F48B96">
      <w:numFmt w:val="decimal"/>
      <w:lvlText w:val=""/>
      <w:lvlJc w:val="left"/>
    </w:lvl>
  </w:abstractNum>
  <w:abstractNum w:abstractNumId="20" w15:restartNumberingAfterBreak="0">
    <w:nsid w:val="790465E1"/>
    <w:multiLevelType w:val="hybridMultilevel"/>
    <w:tmpl w:val="4FC478B4"/>
    <w:lvl w:ilvl="0" w:tplc="100A0001">
      <w:start w:val="1"/>
      <w:numFmt w:val="bullet"/>
      <w:lvlText w:val=""/>
      <w:lvlJc w:val="left"/>
      <w:pPr>
        <w:ind w:left="360" w:hanging="360"/>
      </w:pPr>
      <w:rPr>
        <w:rFonts w:hint="default" w:ascii="Symbol" w:hAnsi="Symbol"/>
      </w:rPr>
    </w:lvl>
    <w:lvl w:ilvl="1" w:tplc="100A0003" w:tentative="1">
      <w:start w:val="1"/>
      <w:numFmt w:val="bullet"/>
      <w:lvlText w:val="o"/>
      <w:lvlJc w:val="left"/>
      <w:pPr>
        <w:ind w:left="1080" w:hanging="360"/>
      </w:pPr>
      <w:rPr>
        <w:rFonts w:hint="default" w:ascii="Courier New" w:hAnsi="Courier New" w:cs="Courier New"/>
      </w:rPr>
    </w:lvl>
    <w:lvl w:ilvl="2" w:tplc="100A0005" w:tentative="1">
      <w:start w:val="1"/>
      <w:numFmt w:val="bullet"/>
      <w:lvlText w:val=""/>
      <w:lvlJc w:val="left"/>
      <w:pPr>
        <w:ind w:left="1800" w:hanging="360"/>
      </w:pPr>
      <w:rPr>
        <w:rFonts w:hint="default" w:ascii="Wingdings" w:hAnsi="Wingdings"/>
      </w:rPr>
    </w:lvl>
    <w:lvl w:ilvl="3" w:tplc="100A0001" w:tentative="1">
      <w:start w:val="1"/>
      <w:numFmt w:val="bullet"/>
      <w:lvlText w:val=""/>
      <w:lvlJc w:val="left"/>
      <w:pPr>
        <w:ind w:left="2520" w:hanging="360"/>
      </w:pPr>
      <w:rPr>
        <w:rFonts w:hint="default" w:ascii="Symbol" w:hAnsi="Symbol"/>
      </w:rPr>
    </w:lvl>
    <w:lvl w:ilvl="4" w:tplc="100A0003" w:tentative="1">
      <w:start w:val="1"/>
      <w:numFmt w:val="bullet"/>
      <w:lvlText w:val="o"/>
      <w:lvlJc w:val="left"/>
      <w:pPr>
        <w:ind w:left="3240" w:hanging="360"/>
      </w:pPr>
      <w:rPr>
        <w:rFonts w:hint="default" w:ascii="Courier New" w:hAnsi="Courier New" w:cs="Courier New"/>
      </w:rPr>
    </w:lvl>
    <w:lvl w:ilvl="5" w:tplc="100A0005" w:tentative="1">
      <w:start w:val="1"/>
      <w:numFmt w:val="bullet"/>
      <w:lvlText w:val=""/>
      <w:lvlJc w:val="left"/>
      <w:pPr>
        <w:ind w:left="3960" w:hanging="360"/>
      </w:pPr>
      <w:rPr>
        <w:rFonts w:hint="default" w:ascii="Wingdings" w:hAnsi="Wingdings"/>
      </w:rPr>
    </w:lvl>
    <w:lvl w:ilvl="6" w:tplc="100A0001" w:tentative="1">
      <w:start w:val="1"/>
      <w:numFmt w:val="bullet"/>
      <w:lvlText w:val=""/>
      <w:lvlJc w:val="left"/>
      <w:pPr>
        <w:ind w:left="4680" w:hanging="360"/>
      </w:pPr>
      <w:rPr>
        <w:rFonts w:hint="default" w:ascii="Symbol" w:hAnsi="Symbol"/>
      </w:rPr>
    </w:lvl>
    <w:lvl w:ilvl="7" w:tplc="100A0003" w:tentative="1">
      <w:start w:val="1"/>
      <w:numFmt w:val="bullet"/>
      <w:lvlText w:val="o"/>
      <w:lvlJc w:val="left"/>
      <w:pPr>
        <w:ind w:left="5400" w:hanging="360"/>
      </w:pPr>
      <w:rPr>
        <w:rFonts w:hint="default" w:ascii="Courier New" w:hAnsi="Courier New" w:cs="Courier New"/>
      </w:rPr>
    </w:lvl>
    <w:lvl w:ilvl="8" w:tplc="100A0005" w:tentative="1">
      <w:start w:val="1"/>
      <w:numFmt w:val="bullet"/>
      <w:lvlText w:val=""/>
      <w:lvlJc w:val="left"/>
      <w:pPr>
        <w:ind w:left="6120" w:hanging="360"/>
      </w:pPr>
      <w:rPr>
        <w:rFonts w:hint="default" w:ascii="Wingdings" w:hAnsi="Wingdings"/>
      </w:rPr>
    </w:lvl>
  </w:abstractNum>
  <w:abstractNum w:abstractNumId="21" w15:restartNumberingAfterBreak="0">
    <w:nsid w:val="7CE10DD1"/>
    <w:multiLevelType w:val="hybridMultilevel"/>
    <w:tmpl w:val="99CEFEA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312566122">
    <w:abstractNumId w:val="11"/>
    <w:lvlOverride w:ilvl="0">
      <w:startOverride w:val="1"/>
    </w:lvlOverride>
  </w:num>
  <w:num w:numId="2" w16cid:durableId="985741847">
    <w:abstractNumId w:val="3"/>
  </w:num>
  <w:num w:numId="3" w16cid:durableId="1692148688">
    <w:abstractNumId w:val="15"/>
  </w:num>
  <w:num w:numId="4" w16cid:durableId="1495876891">
    <w:abstractNumId w:val="6"/>
  </w:num>
  <w:num w:numId="5" w16cid:durableId="1343244669">
    <w:abstractNumId w:val="16"/>
  </w:num>
  <w:num w:numId="6" w16cid:durableId="114295978">
    <w:abstractNumId w:val="19"/>
    <w:lvlOverride w:ilvl="0">
      <w:startOverride w:val="1"/>
    </w:lvlOverride>
  </w:num>
  <w:num w:numId="7" w16cid:durableId="237330025">
    <w:abstractNumId w:val="2"/>
  </w:num>
  <w:num w:numId="8" w16cid:durableId="1336687352">
    <w:abstractNumId w:val="1"/>
    <w:lvlOverride w:ilvl="0">
      <w:startOverride w:val="1"/>
    </w:lvlOverride>
  </w:num>
  <w:num w:numId="9" w16cid:durableId="713426616">
    <w:abstractNumId w:val="18"/>
  </w:num>
  <w:num w:numId="10" w16cid:durableId="1077091203">
    <w:abstractNumId w:val="4"/>
  </w:num>
  <w:num w:numId="11" w16cid:durableId="1366951934">
    <w:abstractNumId w:val="5"/>
  </w:num>
  <w:num w:numId="12" w16cid:durableId="1469204513">
    <w:abstractNumId w:val="10"/>
  </w:num>
  <w:num w:numId="13" w16cid:durableId="1455641083">
    <w:abstractNumId w:val="14"/>
  </w:num>
  <w:num w:numId="14" w16cid:durableId="1990864112">
    <w:abstractNumId w:val="20"/>
  </w:num>
  <w:num w:numId="15" w16cid:durableId="2049253134">
    <w:abstractNumId w:val="8"/>
  </w:num>
  <w:num w:numId="16" w16cid:durableId="1356421861">
    <w:abstractNumId w:val="21"/>
  </w:num>
  <w:num w:numId="17" w16cid:durableId="878207958">
    <w:abstractNumId w:val="9"/>
  </w:num>
  <w:num w:numId="18" w16cid:durableId="392237119">
    <w:abstractNumId w:val="17"/>
  </w:num>
  <w:num w:numId="19" w16cid:durableId="655761514">
    <w:abstractNumId w:val="13"/>
  </w:num>
  <w:num w:numId="20" w16cid:durableId="508956517">
    <w:abstractNumId w:val="12"/>
  </w:num>
  <w:num w:numId="21" w16cid:durableId="1241063771">
    <w:abstractNumId w:val="0"/>
  </w:num>
  <w:num w:numId="22" w16cid:durableId="195647864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48F4"/>
    <w:rsid w:val="00007904"/>
    <w:rsid w:val="00007B10"/>
    <w:rsid w:val="00007B7A"/>
    <w:rsid w:val="00017930"/>
    <w:rsid w:val="000233B8"/>
    <w:rsid w:val="00031832"/>
    <w:rsid w:val="00036010"/>
    <w:rsid w:val="00036A9E"/>
    <w:rsid w:val="00040C3A"/>
    <w:rsid w:val="00057652"/>
    <w:rsid w:val="00065D13"/>
    <w:rsid w:val="00073DD8"/>
    <w:rsid w:val="00075E58"/>
    <w:rsid w:val="00076578"/>
    <w:rsid w:val="0007699E"/>
    <w:rsid w:val="00090B8F"/>
    <w:rsid w:val="00094825"/>
    <w:rsid w:val="000A2588"/>
    <w:rsid w:val="000A4C96"/>
    <w:rsid w:val="000B77F0"/>
    <w:rsid w:val="000B7EBB"/>
    <w:rsid w:val="000C18C9"/>
    <w:rsid w:val="000D02DD"/>
    <w:rsid w:val="000D2B86"/>
    <w:rsid w:val="000D48BF"/>
    <w:rsid w:val="000D4DA9"/>
    <w:rsid w:val="000E3FFD"/>
    <w:rsid w:val="000E5C88"/>
    <w:rsid w:val="000F42AC"/>
    <w:rsid w:val="000F7D1C"/>
    <w:rsid w:val="0010004E"/>
    <w:rsid w:val="00113304"/>
    <w:rsid w:val="001255A1"/>
    <w:rsid w:val="001267E2"/>
    <w:rsid w:val="001272E5"/>
    <w:rsid w:val="001346ED"/>
    <w:rsid w:val="00135055"/>
    <w:rsid w:val="001377C5"/>
    <w:rsid w:val="0014034B"/>
    <w:rsid w:val="00146F6A"/>
    <w:rsid w:val="00154C5D"/>
    <w:rsid w:val="0017245D"/>
    <w:rsid w:val="00172FED"/>
    <w:rsid w:val="00177BD1"/>
    <w:rsid w:val="00177C53"/>
    <w:rsid w:val="00183FD0"/>
    <w:rsid w:val="001845DE"/>
    <w:rsid w:val="00185090"/>
    <w:rsid w:val="00187221"/>
    <w:rsid w:val="00191A8F"/>
    <w:rsid w:val="001A502E"/>
    <w:rsid w:val="001A5946"/>
    <w:rsid w:val="001B1F6E"/>
    <w:rsid w:val="001B2F1F"/>
    <w:rsid w:val="001B77D4"/>
    <w:rsid w:val="001C69B0"/>
    <w:rsid w:val="001C72CE"/>
    <w:rsid w:val="001D053C"/>
    <w:rsid w:val="001D1381"/>
    <w:rsid w:val="001D230E"/>
    <w:rsid w:val="001D243D"/>
    <w:rsid w:val="001D6032"/>
    <w:rsid w:val="001E0041"/>
    <w:rsid w:val="001E3A84"/>
    <w:rsid w:val="001F271F"/>
    <w:rsid w:val="001F62F4"/>
    <w:rsid w:val="002076CD"/>
    <w:rsid w:val="00207F99"/>
    <w:rsid w:val="00213DE0"/>
    <w:rsid w:val="00217A52"/>
    <w:rsid w:val="0022000A"/>
    <w:rsid w:val="00221C2A"/>
    <w:rsid w:val="00222349"/>
    <w:rsid w:val="002271FF"/>
    <w:rsid w:val="00231D4B"/>
    <w:rsid w:val="00235C54"/>
    <w:rsid w:val="0024234F"/>
    <w:rsid w:val="002429C2"/>
    <w:rsid w:val="00254D43"/>
    <w:rsid w:val="00266BB1"/>
    <w:rsid w:val="00273410"/>
    <w:rsid w:val="00273BAE"/>
    <w:rsid w:val="00280363"/>
    <w:rsid w:val="00285CF2"/>
    <w:rsid w:val="002977B9"/>
    <w:rsid w:val="002A31CE"/>
    <w:rsid w:val="002C2E45"/>
    <w:rsid w:val="002D495B"/>
    <w:rsid w:val="002E1772"/>
    <w:rsid w:val="002E5C41"/>
    <w:rsid w:val="002F46AC"/>
    <w:rsid w:val="003135ED"/>
    <w:rsid w:val="003158DE"/>
    <w:rsid w:val="0031755F"/>
    <w:rsid w:val="00320249"/>
    <w:rsid w:val="003233D8"/>
    <w:rsid w:val="00324146"/>
    <w:rsid w:val="00326AB4"/>
    <w:rsid w:val="003277D1"/>
    <w:rsid w:val="00333189"/>
    <w:rsid w:val="00333FFF"/>
    <w:rsid w:val="00335C42"/>
    <w:rsid w:val="00342972"/>
    <w:rsid w:val="003454DD"/>
    <w:rsid w:val="00371AEE"/>
    <w:rsid w:val="00380906"/>
    <w:rsid w:val="0039098A"/>
    <w:rsid w:val="00392582"/>
    <w:rsid w:val="00395E01"/>
    <w:rsid w:val="00396A0B"/>
    <w:rsid w:val="003971ED"/>
    <w:rsid w:val="003A173C"/>
    <w:rsid w:val="003A1D97"/>
    <w:rsid w:val="003B0375"/>
    <w:rsid w:val="003B7F55"/>
    <w:rsid w:val="003B7F8B"/>
    <w:rsid w:val="003D6EE8"/>
    <w:rsid w:val="003E2328"/>
    <w:rsid w:val="003F458B"/>
    <w:rsid w:val="003F4624"/>
    <w:rsid w:val="003F6E23"/>
    <w:rsid w:val="00400D21"/>
    <w:rsid w:val="004050AE"/>
    <w:rsid w:val="0041150B"/>
    <w:rsid w:val="004175EF"/>
    <w:rsid w:val="0042250B"/>
    <w:rsid w:val="00422AB3"/>
    <w:rsid w:val="00424EDE"/>
    <w:rsid w:val="004256AD"/>
    <w:rsid w:val="0043000A"/>
    <w:rsid w:val="004375A3"/>
    <w:rsid w:val="00443236"/>
    <w:rsid w:val="00443CCE"/>
    <w:rsid w:val="004454E8"/>
    <w:rsid w:val="00447F00"/>
    <w:rsid w:val="004605C3"/>
    <w:rsid w:val="004709E2"/>
    <w:rsid w:val="004907EF"/>
    <w:rsid w:val="00490A72"/>
    <w:rsid w:val="00493495"/>
    <w:rsid w:val="00497E06"/>
    <w:rsid w:val="004A371A"/>
    <w:rsid w:val="004C1D83"/>
    <w:rsid w:val="004C219A"/>
    <w:rsid w:val="004C3217"/>
    <w:rsid w:val="004C46A5"/>
    <w:rsid w:val="004C5A6F"/>
    <w:rsid w:val="004C5F2A"/>
    <w:rsid w:val="004E3B34"/>
    <w:rsid w:val="004E6076"/>
    <w:rsid w:val="004F0407"/>
    <w:rsid w:val="004F0AA1"/>
    <w:rsid w:val="00500684"/>
    <w:rsid w:val="00500E38"/>
    <w:rsid w:val="00520671"/>
    <w:rsid w:val="00522D5A"/>
    <w:rsid w:val="005232ED"/>
    <w:rsid w:val="00523F1C"/>
    <w:rsid w:val="0053068F"/>
    <w:rsid w:val="005322B6"/>
    <w:rsid w:val="00535667"/>
    <w:rsid w:val="00537A5D"/>
    <w:rsid w:val="005409DD"/>
    <w:rsid w:val="00542E9F"/>
    <w:rsid w:val="00545248"/>
    <w:rsid w:val="00547322"/>
    <w:rsid w:val="00553C77"/>
    <w:rsid w:val="00562074"/>
    <w:rsid w:val="00563D29"/>
    <w:rsid w:val="0056513F"/>
    <w:rsid w:val="00566247"/>
    <w:rsid w:val="0057141C"/>
    <w:rsid w:val="0057453B"/>
    <w:rsid w:val="005876C8"/>
    <w:rsid w:val="00587FB4"/>
    <w:rsid w:val="005A52D5"/>
    <w:rsid w:val="005B1EDE"/>
    <w:rsid w:val="005B66DB"/>
    <w:rsid w:val="005B685B"/>
    <w:rsid w:val="005B69C3"/>
    <w:rsid w:val="005B7329"/>
    <w:rsid w:val="005C2D02"/>
    <w:rsid w:val="005C3F11"/>
    <w:rsid w:val="005D025A"/>
    <w:rsid w:val="005D25B2"/>
    <w:rsid w:val="005D290F"/>
    <w:rsid w:val="005D34AE"/>
    <w:rsid w:val="005E0DF8"/>
    <w:rsid w:val="005E0EFB"/>
    <w:rsid w:val="005E37F5"/>
    <w:rsid w:val="005F6727"/>
    <w:rsid w:val="006013E7"/>
    <w:rsid w:val="006025FB"/>
    <w:rsid w:val="00602A53"/>
    <w:rsid w:val="00606A21"/>
    <w:rsid w:val="00606F27"/>
    <w:rsid w:val="006154EE"/>
    <w:rsid w:val="00615764"/>
    <w:rsid w:val="00626087"/>
    <w:rsid w:val="00632807"/>
    <w:rsid w:val="00633EA1"/>
    <w:rsid w:val="00646DEE"/>
    <w:rsid w:val="00656168"/>
    <w:rsid w:val="00663757"/>
    <w:rsid w:val="006659FD"/>
    <w:rsid w:val="006677B2"/>
    <w:rsid w:val="00667EB4"/>
    <w:rsid w:val="0067291B"/>
    <w:rsid w:val="006739A3"/>
    <w:rsid w:val="00676247"/>
    <w:rsid w:val="00677F49"/>
    <w:rsid w:val="00681973"/>
    <w:rsid w:val="0068294D"/>
    <w:rsid w:val="006845CE"/>
    <w:rsid w:val="006868A7"/>
    <w:rsid w:val="006A04E8"/>
    <w:rsid w:val="006B546E"/>
    <w:rsid w:val="006B5936"/>
    <w:rsid w:val="006D2AD2"/>
    <w:rsid w:val="006D464E"/>
    <w:rsid w:val="006D4B3E"/>
    <w:rsid w:val="006F2921"/>
    <w:rsid w:val="006F3EFB"/>
    <w:rsid w:val="006F47A9"/>
    <w:rsid w:val="006F5BEA"/>
    <w:rsid w:val="006F5C1D"/>
    <w:rsid w:val="006F7037"/>
    <w:rsid w:val="006F71E2"/>
    <w:rsid w:val="006F7930"/>
    <w:rsid w:val="00706D1C"/>
    <w:rsid w:val="00706F1B"/>
    <w:rsid w:val="0072219F"/>
    <w:rsid w:val="0073378D"/>
    <w:rsid w:val="00734775"/>
    <w:rsid w:val="00734A14"/>
    <w:rsid w:val="0073760C"/>
    <w:rsid w:val="00740B11"/>
    <w:rsid w:val="007420F3"/>
    <w:rsid w:val="00743729"/>
    <w:rsid w:val="007441B0"/>
    <w:rsid w:val="007556E3"/>
    <w:rsid w:val="007574C5"/>
    <w:rsid w:val="00763336"/>
    <w:rsid w:val="00770D1A"/>
    <w:rsid w:val="007736BD"/>
    <w:rsid w:val="00777712"/>
    <w:rsid w:val="00781C3D"/>
    <w:rsid w:val="00784334"/>
    <w:rsid w:val="0078663B"/>
    <w:rsid w:val="00790E84"/>
    <w:rsid w:val="00791AE4"/>
    <w:rsid w:val="0079352E"/>
    <w:rsid w:val="007A0D73"/>
    <w:rsid w:val="007A63DE"/>
    <w:rsid w:val="007B0ED9"/>
    <w:rsid w:val="007C6775"/>
    <w:rsid w:val="007C72E0"/>
    <w:rsid w:val="007D1600"/>
    <w:rsid w:val="007D450C"/>
    <w:rsid w:val="007E2074"/>
    <w:rsid w:val="007E3AAC"/>
    <w:rsid w:val="007F0C21"/>
    <w:rsid w:val="007F0D35"/>
    <w:rsid w:val="007F7DA4"/>
    <w:rsid w:val="00801937"/>
    <w:rsid w:val="00815519"/>
    <w:rsid w:val="008166F0"/>
    <w:rsid w:val="00821263"/>
    <w:rsid w:val="008237C8"/>
    <w:rsid w:val="00831B6E"/>
    <w:rsid w:val="0083561B"/>
    <w:rsid w:val="008376E8"/>
    <w:rsid w:val="00842A54"/>
    <w:rsid w:val="00844010"/>
    <w:rsid w:val="00845267"/>
    <w:rsid w:val="008457C9"/>
    <w:rsid w:val="00850969"/>
    <w:rsid w:val="00854E17"/>
    <w:rsid w:val="0086042F"/>
    <w:rsid w:val="008634C3"/>
    <w:rsid w:val="008646C4"/>
    <w:rsid w:val="00870EF5"/>
    <w:rsid w:val="00871695"/>
    <w:rsid w:val="00871708"/>
    <w:rsid w:val="00874BDD"/>
    <w:rsid w:val="00876019"/>
    <w:rsid w:val="0088440E"/>
    <w:rsid w:val="0088485A"/>
    <w:rsid w:val="008949CD"/>
    <w:rsid w:val="008961CD"/>
    <w:rsid w:val="008973B7"/>
    <w:rsid w:val="008A2D76"/>
    <w:rsid w:val="008A580F"/>
    <w:rsid w:val="008A5A6B"/>
    <w:rsid w:val="008C2ECF"/>
    <w:rsid w:val="008C3F99"/>
    <w:rsid w:val="008C66D9"/>
    <w:rsid w:val="008E5BB2"/>
    <w:rsid w:val="008F659A"/>
    <w:rsid w:val="009005D0"/>
    <w:rsid w:val="00905E46"/>
    <w:rsid w:val="00906BA1"/>
    <w:rsid w:val="00906E93"/>
    <w:rsid w:val="00907CFD"/>
    <w:rsid w:val="009133B3"/>
    <w:rsid w:val="00913BDF"/>
    <w:rsid w:val="009175F5"/>
    <w:rsid w:val="00917F10"/>
    <w:rsid w:val="009212B2"/>
    <w:rsid w:val="009432A7"/>
    <w:rsid w:val="009437B6"/>
    <w:rsid w:val="00944A36"/>
    <w:rsid w:val="00957673"/>
    <w:rsid w:val="00961138"/>
    <w:rsid w:val="0096164F"/>
    <w:rsid w:val="00963303"/>
    <w:rsid w:val="009676AE"/>
    <w:rsid w:val="0097115E"/>
    <w:rsid w:val="009A069E"/>
    <w:rsid w:val="009A2441"/>
    <w:rsid w:val="009A2EAD"/>
    <w:rsid w:val="009A6BD7"/>
    <w:rsid w:val="009B06C2"/>
    <w:rsid w:val="009B5AC2"/>
    <w:rsid w:val="009B660F"/>
    <w:rsid w:val="009C01C7"/>
    <w:rsid w:val="009C07F5"/>
    <w:rsid w:val="009C6A76"/>
    <w:rsid w:val="009C6B3B"/>
    <w:rsid w:val="009D3088"/>
    <w:rsid w:val="009D61D4"/>
    <w:rsid w:val="009D7F33"/>
    <w:rsid w:val="009E023D"/>
    <w:rsid w:val="009E268D"/>
    <w:rsid w:val="009E7BE9"/>
    <w:rsid w:val="009F076E"/>
    <w:rsid w:val="009F4DD1"/>
    <w:rsid w:val="009F575B"/>
    <w:rsid w:val="009F5907"/>
    <w:rsid w:val="00A011C7"/>
    <w:rsid w:val="00A10BD8"/>
    <w:rsid w:val="00A11A3D"/>
    <w:rsid w:val="00A13FB5"/>
    <w:rsid w:val="00A16B37"/>
    <w:rsid w:val="00A175C2"/>
    <w:rsid w:val="00A17873"/>
    <w:rsid w:val="00A2719E"/>
    <w:rsid w:val="00A358EE"/>
    <w:rsid w:val="00A44741"/>
    <w:rsid w:val="00A46806"/>
    <w:rsid w:val="00A47B1E"/>
    <w:rsid w:val="00A666E0"/>
    <w:rsid w:val="00A67F53"/>
    <w:rsid w:val="00A737CA"/>
    <w:rsid w:val="00A75331"/>
    <w:rsid w:val="00A76113"/>
    <w:rsid w:val="00A802F6"/>
    <w:rsid w:val="00A8527D"/>
    <w:rsid w:val="00A92A25"/>
    <w:rsid w:val="00A938C5"/>
    <w:rsid w:val="00A94F08"/>
    <w:rsid w:val="00AA44C8"/>
    <w:rsid w:val="00AA5040"/>
    <w:rsid w:val="00AA5714"/>
    <w:rsid w:val="00AA5B05"/>
    <w:rsid w:val="00AA72F6"/>
    <w:rsid w:val="00AA7D90"/>
    <w:rsid w:val="00AB1685"/>
    <w:rsid w:val="00AB1849"/>
    <w:rsid w:val="00AB38CC"/>
    <w:rsid w:val="00AC4244"/>
    <w:rsid w:val="00AC5FBF"/>
    <w:rsid w:val="00AD0147"/>
    <w:rsid w:val="00AD05CE"/>
    <w:rsid w:val="00AE1ED7"/>
    <w:rsid w:val="00AE6A36"/>
    <w:rsid w:val="00AF2C97"/>
    <w:rsid w:val="00B0045B"/>
    <w:rsid w:val="00B06618"/>
    <w:rsid w:val="00B11356"/>
    <w:rsid w:val="00B144E4"/>
    <w:rsid w:val="00B238C1"/>
    <w:rsid w:val="00B34C40"/>
    <w:rsid w:val="00B367F3"/>
    <w:rsid w:val="00B41C5B"/>
    <w:rsid w:val="00B41DC3"/>
    <w:rsid w:val="00B55111"/>
    <w:rsid w:val="00B60E05"/>
    <w:rsid w:val="00B71ACC"/>
    <w:rsid w:val="00B7597E"/>
    <w:rsid w:val="00B837FF"/>
    <w:rsid w:val="00B862E4"/>
    <w:rsid w:val="00B967A0"/>
    <w:rsid w:val="00B96FCB"/>
    <w:rsid w:val="00BA18DB"/>
    <w:rsid w:val="00BB41FD"/>
    <w:rsid w:val="00BB7BE0"/>
    <w:rsid w:val="00BC115A"/>
    <w:rsid w:val="00BC2289"/>
    <w:rsid w:val="00BD2A50"/>
    <w:rsid w:val="00BE46C3"/>
    <w:rsid w:val="00BE7CA8"/>
    <w:rsid w:val="00BF0BC0"/>
    <w:rsid w:val="00BF524F"/>
    <w:rsid w:val="00C0695B"/>
    <w:rsid w:val="00C14809"/>
    <w:rsid w:val="00C14AE7"/>
    <w:rsid w:val="00C30691"/>
    <w:rsid w:val="00C328AF"/>
    <w:rsid w:val="00C341BF"/>
    <w:rsid w:val="00C36889"/>
    <w:rsid w:val="00C466F0"/>
    <w:rsid w:val="00C51864"/>
    <w:rsid w:val="00C52F9E"/>
    <w:rsid w:val="00C5732F"/>
    <w:rsid w:val="00C61C81"/>
    <w:rsid w:val="00C64395"/>
    <w:rsid w:val="00C64ABF"/>
    <w:rsid w:val="00C65AD2"/>
    <w:rsid w:val="00C66245"/>
    <w:rsid w:val="00C71F78"/>
    <w:rsid w:val="00C73A5F"/>
    <w:rsid w:val="00C76EB8"/>
    <w:rsid w:val="00C829B6"/>
    <w:rsid w:val="00C82B0C"/>
    <w:rsid w:val="00C86FD4"/>
    <w:rsid w:val="00C9675A"/>
    <w:rsid w:val="00C9768B"/>
    <w:rsid w:val="00CA7A73"/>
    <w:rsid w:val="00CB04CC"/>
    <w:rsid w:val="00CB2676"/>
    <w:rsid w:val="00CB2CE3"/>
    <w:rsid w:val="00CB4FD5"/>
    <w:rsid w:val="00CB5A99"/>
    <w:rsid w:val="00CB5D28"/>
    <w:rsid w:val="00CB6CBC"/>
    <w:rsid w:val="00CB79EF"/>
    <w:rsid w:val="00CC0FCD"/>
    <w:rsid w:val="00CC1788"/>
    <w:rsid w:val="00CC2EED"/>
    <w:rsid w:val="00CD0A8A"/>
    <w:rsid w:val="00CD3B40"/>
    <w:rsid w:val="00CD661C"/>
    <w:rsid w:val="00CE5D95"/>
    <w:rsid w:val="00CE6392"/>
    <w:rsid w:val="00CE6ACA"/>
    <w:rsid w:val="00D126E7"/>
    <w:rsid w:val="00D162A4"/>
    <w:rsid w:val="00D16D8D"/>
    <w:rsid w:val="00D176AC"/>
    <w:rsid w:val="00D215F3"/>
    <w:rsid w:val="00D23675"/>
    <w:rsid w:val="00D30532"/>
    <w:rsid w:val="00D30652"/>
    <w:rsid w:val="00D35EC9"/>
    <w:rsid w:val="00D36116"/>
    <w:rsid w:val="00D44BA6"/>
    <w:rsid w:val="00D50919"/>
    <w:rsid w:val="00D5493B"/>
    <w:rsid w:val="00D55DE2"/>
    <w:rsid w:val="00D7221F"/>
    <w:rsid w:val="00D76FDC"/>
    <w:rsid w:val="00D86569"/>
    <w:rsid w:val="00D90C3D"/>
    <w:rsid w:val="00D92F43"/>
    <w:rsid w:val="00DA1772"/>
    <w:rsid w:val="00DA6C03"/>
    <w:rsid w:val="00DB1602"/>
    <w:rsid w:val="00DB6128"/>
    <w:rsid w:val="00DC3B41"/>
    <w:rsid w:val="00DC5221"/>
    <w:rsid w:val="00DC5CCD"/>
    <w:rsid w:val="00DC5FD1"/>
    <w:rsid w:val="00DC74D3"/>
    <w:rsid w:val="00DD2002"/>
    <w:rsid w:val="00DD358D"/>
    <w:rsid w:val="00DD465E"/>
    <w:rsid w:val="00DD564D"/>
    <w:rsid w:val="00DE1B1E"/>
    <w:rsid w:val="00DE3EE9"/>
    <w:rsid w:val="00DF2846"/>
    <w:rsid w:val="00DF3BAD"/>
    <w:rsid w:val="00DF3E5C"/>
    <w:rsid w:val="00DF41F9"/>
    <w:rsid w:val="00E006D4"/>
    <w:rsid w:val="00E123E5"/>
    <w:rsid w:val="00E12926"/>
    <w:rsid w:val="00E15214"/>
    <w:rsid w:val="00E257E1"/>
    <w:rsid w:val="00E26707"/>
    <w:rsid w:val="00E33345"/>
    <w:rsid w:val="00E3474A"/>
    <w:rsid w:val="00E358C1"/>
    <w:rsid w:val="00E35A72"/>
    <w:rsid w:val="00E41BCB"/>
    <w:rsid w:val="00E501C3"/>
    <w:rsid w:val="00E54513"/>
    <w:rsid w:val="00E61593"/>
    <w:rsid w:val="00E74F15"/>
    <w:rsid w:val="00E75759"/>
    <w:rsid w:val="00E765E2"/>
    <w:rsid w:val="00E82302"/>
    <w:rsid w:val="00E90E47"/>
    <w:rsid w:val="00E96FB3"/>
    <w:rsid w:val="00EA4E41"/>
    <w:rsid w:val="00EC1194"/>
    <w:rsid w:val="00ED207E"/>
    <w:rsid w:val="00ED461B"/>
    <w:rsid w:val="00ED4BA3"/>
    <w:rsid w:val="00EE26BC"/>
    <w:rsid w:val="00EE6A50"/>
    <w:rsid w:val="00EE6B99"/>
    <w:rsid w:val="00F008BB"/>
    <w:rsid w:val="00F050EA"/>
    <w:rsid w:val="00F20121"/>
    <w:rsid w:val="00F237F6"/>
    <w:rsid w:val="00F245A1"/>
    <w:rsid w:val="00F2533A"/>
    <w:rsid w:val="00F31DA5"/>
    <w:rsid w:val="00F32C4F"/>
    <w:rsid w:val="00F44B22"/>
    <w:rsid w:val="00F47AB0"/>
    <w:rsid w:val="00F5299A"/>
    <w:rsid w:val="00F531D7"/>
    <w:rsid w:val="00F547AB"/>
    <w:rsid w:val="00F57182"/>
    <w:rsid w:val="00F72830"/>
    <w:rsid w:val="00F771A5"/>
    <w:rsid w:val="00F8114C"/>
    <w:rsid w:val="00F8114E"/>
    <w:rsid w:val="00F823E7"/>
    <w:rsid w:val="00F84169"/>
    <w:rsid w:val="00F844AA"/>
    <w:rsid w:val="00F84D04"/>
    <w:rsid w:val="00F8649B"/>
    <w:rsid w:val="00F96F30"/>
    <w:rsid w:val="00FA0486"/>
    <w:rsid w:val="00FA6BC5"/>
    <w:rsid w:val="00FC2295"/>
    <w:rsid w:val="00FC510E"/>
    <w:rsid w:val="00FD0F75"/>
    <w:rsid w:val="00FD47F7"/>
    <w:rsid w:val="00FE3900"/>
    <w:rsid w:val="00FF049C"/>
    <w:rsid w:val="00FF0902"/>
    <w:rsid w:val="00FF36F1"/>
    <w:rsid w:val="00FF581F"/>
    <w:rsid w:val="185285A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5A731"/>
  <w15:chartTrackingRefBased/>
  <w15:docId w15:val="{5779177C-66BD-444B-BB23-2BD4CF33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lang w:val="es-ES_tradnl"/>
    </w:rPr>
  </w:style>
  <w:style w:type="paragraph" w:styleId="Ttulo1">
    <w:name w:val="heading 1"/>
    <w:basedOn w:val="Normal"/>
    <w:next w:val="Normal"/>
    <w:link w:val="Ttulo1Car"/>
    <w:uiPriority w:val="9"/>
    <w:qFormat/>
    <w:rsid w:val="006F7037"/>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9175F5"/>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Ttulo3">
    <w:name w:val="heading 3"/>
    <w:basedOn w:val="Normal"/>
    <w:link w:val="Ttulo3Car"/>
    <w:uiPriority w:val="9"/>
    <w:qFormat/>
    <w:rsid w:val="00FC2295"/>
    <w:pPr>
      <w:spacing w:before="100" w:beforeAutospacing="1" w:after="100" w:afterAutospacing="1"/>
      <w:outlineLvl w:val="2"/>
    </w:pPr>
    <w:rPr>
      <w:rFonts w:ascii="Times New Roman" w:hAnsi="Times New Roman" w:eastAsia="Times New Roman" w:cs="Times New Roman"/>
      <w:b/>
      <w:bCs/>
      <w:sz w:val="27"/>
      <w:szCs w:val="27"/>
      <w:lang w:val="es-GT" w:eastAsia="es-GT"/>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styleId="EncabezadoCar" w:customStyle="1">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styleId="PiedepginaCar" w:customStyle="1">
    <w:name w:val="Pie de página Car"/>
    <w:basedOn w:val="Fuentedeprrafopredeter"/>
    <w:link w:val="Piedepgina"/>
    <w:uiPriority w:val="99"/>
    <w:rsid w:val="005B1EDE"/>
    <w:rPr>
      <w:lang w:val="es-ES_tradnl"/>
    </w:rPr>
  </w:style>
  <w:style w:type="paragraph" w:styleId="Sinespaciado">
    <w:name w:val="No Spacing"/>
    <w:aliases w:val="tablas"/>
    <w:link w:val="SinespaciadoCar"/>
    <w:uiPriority w:val="1"/>
    <w:qFormat/>
    <w:rsid w:val="0057453B"/>
    <w:rPr>
      <w:sz w:val="22"/>
      <w:szCs w:val="22"/>
      <w:lang w:val="es-ES"/>
    </w:rPr>
  </w:style>
  <w:style w:type="character" w:styleId="SinespaciadoCar" w:customStyle="1">
    <w:name w:val="Sin espaciado Car"/>
    <w:aliases w:val="tablas Car"/>
    <w:basedOn w:val="Fuentedeprrafopredeter"/>
    <w:link w:val="Sinespaciado"/>
    <w:uiPriority w:val="1"/>
    <w:qFormat/>
    <w:rsid w:val="0057453B"/>
    <w:rPr>
      <w:sz w:val="22"/>
      <w:szCs w:val="22"/>
      <w:lang w:val="es-ES"/>
    </w:rPr>
  </w:style>
  <w:style w:type="character" w:styleId="Hipervnculo">
    <w:name w:val="Hyperlink"/>
    <w:basedOn w:val="Fuentedeprrafopredeter"/>
    <w:uiPriority w:val="99"/>
    <w:unhideWhenUsed/>
    <w:rsid w:val="0057453B"/>
    <w:rPr>
      <w:color w:val="0563C1" w:themeColor="hyperlink"/>
      <w:u w:val="single"/>
    </w:rPr>
  </w:style>
  <w:style w:type="character" w:styleId="Fuerte">
    <w:name w:val="Strong"/>
    <w:basedOn w:val="Fuentedeprrafopredeter"/>
    <w:uiPriority w:val="22"/>
    <w:qFormat/>
    <w:rsid w:val="00CB79EF"/>
    <w:rPr>
      <w:b/>
      <w:bCs/>
    </w:rPr>
  </w:style>
  <w:style w:type="paragraph" w:styleId="Prrafodelista">
    <w:name w:val="List Paragraph"/>
    <w:aliases w:val="Titulos Indice,References,Bullets,Title Style 1,Numbered List Paragraph,lp1,Dot pt,No Spacing1,List Paragraph Char Char Char,Indicator Text,List Paragraph1,Numbered Para 1,Colorful List - Accent 11,Footnote,Bullet 1,F5 List Paragraph"/>
    <w:basedOn w:val="Normal"/>
    <w:link w:val="PrrafodelistaCar"/>
    <w:qFormat/>
    <w:rsid w:val="00B238C1"/>
    <w:pPr>
      <w:ind w:left="720"/>
      <w:contextualSpacing/>
    </w:pPr>
  </w:style>
  <w:style w:type="paragraph" w:styleId="NormalWeb">
    <w:name w:val="Normal (Web)"/>
    <w:basedOn w:val="Normal"/>
    <w:uiPriority w:val="99"/>
    <w:unhideWhenUsed/>
    <w:rsid w:val="00B238C1"/>
    <w:pPr>
      <w:spacing w:before="100" w:beforeAutospacing="1" w:after="100" w:afterAutospacing="1"/>
    </w:pPr>
    <w:rPr>
      <w:rFonts w:ascii="Times New Roman" w:hAnsi="Times New Roman" w:eastAsia="Times New Roman" w:cs="Times New Roman"/>
      <w:lang w:val="es-GT" w:eastAsia="es-GT"/>
    </w:rPr>
  </w:style>
  <w:style w:type="character" w:styleId="PrrafodelistaCar" w:customStyle="1">
    <w:name w:val="Párrafo de lista Car"/>
    <w:aliases w:val="Titulos Indice Car,References Car,Bullets Car,Title Style 1 Car,Numbered List Paragraph Car,lp1 Car,Dot pt Car,No Spacing1 Car,List Paragraph Char Char Char Car,Indicator Text Car,List Paragraph1 Car,Numbered Para 1 Car,Footnote Car"/>
    <w:link w:val="Prrafodelista"/>
    <w:uiPriority w:val="34"/>
    <w:qFormat/>
    <w:rsid w:val="00497E06"/>
    <w:rPr>
      <w:lang w:val="es-ES_tradnl"/>
    </w:rPr>
  </w:style>
  <w:style w:type="character" w:styleId="Mencinsinresolver">
    <w:name w:val="Unresolved Mention"/>
    <w:basedOn w:val="Fuentedeprrafopredeter"/>
    <w:uiPriority w:val="99"/>
    <w:rsid w:val="00CC1788"/>
    <w:rPr>
      <w:color w:val="605E5C"/>
      <w:shd w:val="clear" w:color="auto" w:fill="E1DFDD"/>
    </w:rPr>
  </w:style>
  <w:style w:type="character" w:styleId="Refdecomentario">
    <w:name w:val="annotation reference"/>
    <w:basedOn w:val="Fuentedeprrafopredeter"/>
    <w:uiPriority w:val="99"/>
    <w:semiHidden/>
    <w:unhideWhenUsed/>
    <w:rsid w:val="000233B8"/>
    <w:rPr>
      <w:sz w:val="16"/>
      <w:szCs w:val="16"/>
    </w:rPr>
  </w:style>
  <w:style w:type="paragraph" w:styleId="Textocomentario">
    <w:name w:val="annotation text"/>
    <w:basedOn w:val="Normal"/>
    <w:link w:val="TextocomentarioCar"/>
    <w:uiPriority w:val="99"/>
    <w:semiHidden/>
    <w:unhideWhenUsed/>
    <w:rsid w:val="000233B8"/>
    <w:rPr>
      <w:sz w:val="20"/>
      <w:szCs w:val="20"/>
    </w:rPr>
  </w:style>
  <w:style w:type="character" w:styleId="TextocomentarioCar" w:customStyle="1">
    <w:name w:val="Texto comentario Car"/>
    <w:basedOn w:val="Fuentedeprrafopredeter"/>
    <w:link w:val="Textocomentario"/>
    <w:uiPriority w:val="99"/>
    <w:semiHidden/>
    <w:rsid w:val="000233B8"/>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233B8"/>
    <w:rPr>
      <w:b/>
      <w:bCs/>
    </w:rPr>
  </w:style>
  <w:style w:type="character" w:styleId="AsuntodelcomentarioCar" w:customStyle="1">
    <w:name w:val="Asunto del comentario Car"/>
    <w:basedOn w:val="TextocomentarioCar"/>
    <w:link w:val="Asuntodelcomentario"/>
    <w:uiPriority w:val="99"/>
    <w:semiHidden/>
    <w:rsid w:val="000233B8"/>
    <w:rPr>
      <w:b/>
      <w:bCs/>
      <w:sz w:val="20"/>
      <w:szCs w:val="20"/>
      <w:lang w:val="es-ES_tradnl"/>
    </w:rPr>
  </w:style>
  <w:style w:type="paragraph" w:styleId="ds-markdown-paragraph" w:customStyle="1">
    <w:name w:val="ds-markdown-paragraph"/>
    <w:basedOn w:val="Normal"/>
    <w:rsid w:val="00963303"/>
    <w:pPr>
      <w:spacing w:before="100" w:beforeAutospacing="1" w:after="100" w:afterAutospacing="1"/>
    </w:pPr>
    <w:rPr>
      <w:rFonts w:ascii="Times New Roman" w:hAnsi="Times New Roman" w:eastAsia="Times New Roman" w:cs="Times New Roman"/>
      <w:lang w:val="es-GT" w:eastAsia="es-GT"/>
    </w:rPr>
  </w:style>
  <w:style w:type="character" w:styleId="apple-tab-span" w:customStyle="1">
    <w:name w:val="apple-tab-span"/>
    <w:basedOn w:val="Fuentedeprrafopredeter"/>
    <w:rsid w:val="00906E93"/>
  </w:style>
  <w:style w:type="character" w:styleId="Ttulo3Car" w:customStyle="1">
    <w:name w:val="Título 3 Car"/>
    <w:basedOn w:val="Fuentedeprrafopredeter"/>
    <w:link w:val="Ttulo3"/>
    <w:uiPriority w:val="9"/>
    <w:rsid w:val="00FC2295"/>
    <w:rPr>
      <w:rFonts w:ascii="Times New Roman" w:hAnsi="Times New Roman" w:eastAsia="Times New Roman" w:cs="Times New Roman"/>
      <w:b/>
      <w:bCs/>
      <w:sz w:val="27"/>
      <w:szCs w:val="27"/>
      <w:lang w:eastAsia="es-GT"/>
    </w:rPr>
  </w:style>
  <w:style w:type="character" w:styleId="nfasis">
    <w:name w:val="Emphasis"/>
    <w:basedOn w:val="Fuentedeprrafopredeter"/>
    <w:uiPriority w:val="20"/>
    <w:qFormat/>
    <w:rsid w:val="00FC2295"/>
    <w:rPr>
      <w:i/>
      <w:iCs/>
    </w:rPr>
  </w:style>
  <w:style w:type="character" w:styleId="Ttulo1Car" w:customStyle="1">
    <w:name w:val="Título 1 Car"/>
    <w:basedOn w:val="Fuentedeprrafopredeter"/>
    <w:link w:val="Ttulo1"/>
    <w:uiPriority w:val="9"/>
    <w:rsid w:val="006F7037"/>
    <w:rPr>
      <w:rFonts w:asciiTheme="majorHAnsi" w:hAnsiTheme="majorHAnsi" w:eastAsiaTheme="majorEastAsia" w:cstheme="majorBidi"/>
      <w:color w:val="2F5496" w:themeColor="accent1" w:themeShade="BF"/>
      <w:sz w:val="32"/>
      <w:szCs w:val="32"/>
      <w:lang w:val="es-ES_tradnl"/>
    </w:rPr>
  </w:style>
  <w:style w:type="character" w:styleId="citation-82" w:customStyle="1">
    <w:name w:val="citation-82"/>
    <w:basedOn w:val="Fuentedeprrafopredeter"/>
    <w:rsid w:val="004375A3"/>
  </w:style>
  <w:style w:type="character" w:styleId="Ttulo2Car" w:customStyle="1">
    <w:name w:val="Título 2 Car"/>
    <w:basedOn w:val="Fuentedeprrafopredeter"/>
    <w:link w:val="Ttulo2"/>
    <w:uiPriority w:val="9"/>
    <w:semiHidden/>
    <w:rsid w:val="009175F5"/>
    <w:rPr>
      <w:rFonts w:asciiTheme="majorHAnsi" w:hAnsiTheme="majorHAnsi" w:eastAsiaTheme="majorEastAsia" w:cstheme="majorBidi"/>
      <w:color w:val="2F5496" w:themeColor="accent1" w:themeShade="BF"/>
      <w:sz w:val="26"/>
      <w:szCs w:val="26"/>
      <w:lang w:val="es-ES_tradnl"/>
    </w:rPr>
  </w:style>
  <w:style w:type="table" w:styleId="Tablaconcuadrcula1clara-nfasis1">
    <w:name w:val="Grid Table 1 Light Accent 1"/>
    <w:basedOn w:val="Tablanormal"/>
    <w:uiPriority w:val="46"/>
    <w:rsid w:val="00DC74D3"/>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59">
      <w:bodyDiv w:val="1"/>
      <w:marLeft w:val="0"/>
      <w:marRight w:val="0"/>
      <w:marTop w:val="0"/>
      <w:marBottom w:val="0"/>
      <w:divBdr>
        <w:top w:val="none" w:sz="0" w:space="0" w:color="auto"/>
        <w:left w:val="none" w:sz="0" w:space="0" w:color="auto"/>
        <w:bottom w:val="none" w:sz="0" w:space="0" w:color="auto"/>
        <w:right w:val="none" w:sz="0" w:space="0" w:color="auto"/>
      </w:divBdr>
    </w:div>
    <w:div w:id="30418922">
      <w:bodyDiv w:val="1"/>
      <w:marLeft w:val="0"/>
      <w:marRight w:val="0"/>
      <w:marTop w:val="0"/>
      <w:marBottom w:val="0"/>
      <w:divBdr>
        <w:top w:val="none" w:sz="0" w:space="0" w:color="auto"/>
        <w:left w:val="none" w:sz="0" w:space="0" w:color="auto"/>
        <w:bottom w:val="none" w:sz="0" w:space="0" w:color="auto"/>
        <w:right w:val="none" w:sz="0" w:space="0" w:color="auto"/>
      </w:divBdr>
    </w:div>
    <w:div w:id="35011058">
      <w:bodyDiv w:val="1"/>
      <w:marLeft w:val="0"/>
      <w:marRight w:val="0"/>
      <w:marTop w:val="0"/>
      <w:marBottom w:val="0"/>
      <w:divBdr>
        <w:top w:val="none" w:sz="0" w:space="0" w:color="auto"/>
        <w:left w:val="none" w:sz="0" w:space="0" w:color="auto"/>
        <w:bottom w:val="none" w:sz="0" w:space="0" w:color="auto"/>
        <w:right w:val="none" w:sz="0" w:space="0" w:color="auto"/>
      </w:divBdr>
    </w:div>
    <w:div w:id="69817365">
      <w:bodyDiv w:val="1"/>
      <w:marLeft w:val="0"/>
      <w:marRight w:val="0"/>
      <w:marTop w:val="0"/>
      <w:marBottom w:val="0"/>
      <w:divBdr>
        <w:top w:val="none" w:sz="0" w:space="0" w:color="auto"/>
        <w:left w:val="none" w:sz="0" w:space="0" w:color="auto"/>
        <w:bottom w:val="none" w:sz="0" w:space="0" w:color="auto"/>
        <w:right w:val="none" w:sz="0" w:space="0" w:color="auto"/>
      </w:divBdr>
    </w:div>
    <w:div w:id="72166753">
      <w:bodyDiv w:val="1"/>
      <w:marLeft w:val="0"/>
      <w:marRight w:val="0"/>
      <w:marTop w:val="0"/>
      <w:marBottom w:val="0"/>
      <w:divBdr>
        <w:top w:val="none" w:sz="0" w:space="0" w:color="auto"/>
        <w:left w:val="none" w:sz="0" w:space="0" w:color="auto"/>
        <w:bottom w:val="none" w:sz="0" w:space="0" w:color="auto"/>
        <w:right w:val="none" w:sz="0" w:space="0" w:color="auto"/>
      </w:divBdr>
    </w:div>
    <w:div w:id="83382341">
      <w:bodyDiv w:val="1"/>
      <w:marLeft w:val="0"/>
      <w:marRight w:val="0"/>
      <w:marTop w:val="0"/>
      <w:marBottom w:val="0"/>
      <w:divBdr>
        <w:top w:val="none" w:sz="0" w:space="0" w:color="auto"/>
        <w:left w:val="none" w:sz="0" w:space="0" w:color="auto"/>
        <w:bottom w:val="none" w:sz="0" w:space="0" w:color="auto"/>
        <w:right w:val="none" w:sz="0" w:space="0" w:color="auto"/>
      </w:divBdr>
    </w:div>
    <w:div w:id="138771595">
      <w:bodyDiv w:val="1"/>
      <w:marLeft w:val="0"/>
      <w:marRight w:val="0"/>
      <w:marTop w:val="0"/>
      <w:marBottom w:val="0"/>
      <w:divBdr>
        <w:top w:val="none" w:sz="0" w:space="0" w:color="auto"/>
        <w:left w:val="none" w:sz="0" w:space="0" w:color="auto"/>
        <w:bottom w:val="none" w:sz="0" w:space="0" w:color="auto"/>
        <w:right w:val="none" w:sz="0" w:space="0" w:color="auto"/>
      </w:divBdr>
    </w:div>
    <w:div w:id="164782970">
      <w:bodyDiv w:val="1"/>
      <w:marLeft w:val="0"/>
      <w:marRight w:val="0"/>
      <w:marTop w:val="0"/>
      <w:marBottom w:val="0"/>
      <w:divBdr>
        <w:top w:val="none" w:sz="0" w:space="0" w:color="auto"/>
        <w:left w:val="none" w:sz="0" w:space="0" w:color="auto"/>
        <w:bottom w:val="none" w:sz="0" w:space="0" w:color="auto"/>
        <w:right w:val="none" w:sz="0" w:space="0" w:color="auto"/>
      </w:divBdr>
    </w:div>
    <w:div w:id="207955983">
      <w:bodyDiv w:val="1"/>
      <w:marLeft w:val="0"/>
      <w:marRight w:val="0"/>
      <w:marTop w:val="0"/>
      <w:marBottom w:val="0"/>
      <w:divBdr>
        <w:top w:val="none" w:sz="0" w:space="0" w:color="auto"/>
        <w:left w:val="none" w:sz="0" w:space="0" w:color="auto"/>
        <w:bottom w:val="none" w:sz="0" w:space="0" w:color="auto"/>
        <w:right w:val="none" w:sz="0" w:space="0" w:color="auto"/>
      </w:divBdr>
    </w:div>
    <w:div w:id="209533899">
      <w:bodyDiv w:val="1"/>
      <w:marLeft w:val="0"/>
      <w:marRight w:val="0"/>
      <w:marTop w:val="0"/>
      <w:marBottom w:val="0"/>
      <w:divBdr>
        <w:top w:val="none" w:sz="0" w:space="0" w:color="auto"/>
        <w:left w:val="none" w:sz="0" w:space="0" w:color="auto"/>
        <w:bottom w:val="none" w:sz="0" w:space="0" w:color="auto"/>
        <w:right w:val="none" w:sz="0" w:space="0" w:color="auto"/>
      </w:divBdr>
    </w:div>
    <w:div w:id="223224851">
      <w:bodyDiv w:val="1"/>
      <w:marLeft w:val="0"/>
      <w:marRight w:val="0"/>
      <w:marTop w:val="0"/>
      <w:marBottom w:val="0"/>
      <w:divBdr>
        <w:top w:val="none" w:sz="0" w:space="0" w:color="auto"/>
        <w:left w:val="none" w:sz="0" w:space="0" w:color="auto"/>
        <w:bottom w:val="none" w:sz="0" w:space="0" w:color="auto"/>
        <w:right w:val="none" w:sz="0" w:space="0" w:color="auto"/>
      </w:divBdr>
    </w:div>
    <w:div w:id="231281236">
      <w:bodyDiv w:val="1"/>
      <w:marLeft w:val="0"/>
      <w:marRight w:val="0"/>
      <w:marTop w:val="0"/>
      <w:marBottom w:val="0"/>
      <w:divBdr>
        <w:top w:val="none" w:sz="0" w:space="0" w:color="auto"/>
        <w:left w:val="none" w:sz="0" w:space="0" w:color="auto"/>
        <w:bottom w:val="none" w:sz="0" w:space="0" w:color="auto"/>
        <w:right w:val="none" w:sz="0" w:space="0" w:color="auto"/>
      </w:divBdr>
    </w:div>
    <w:div w:id="264962539">
      <w:bodyDiv w:val="1"/>
      <w:marLeft w:val="0"/>
      <w:marRight w:val="0"/>
      <w:marTop w:val="0"/>
      <w:marBottom w:val="0"/>
      <w:divBdr>
        <w:top w:val="none" w:sz="0" w:space="0" w:color="auto"/>
        <w:left w:val="none" w:sz="0" w:space="0" w:color="auto"/>
        <w:bottom w:val="none" w:sz="0" w:space="0" w:color="auto"/>
        <w:right w:val="none" w:sz="0" w:space="0" w:color="auto"/>
      </w:divBdr>
    </w:div>
    <w:div w:id="266237420">
      <w:bodyDiv w:val="1"/>
      <w:marLeft w:val="0"/>
      <w:marRight w:val="0"/>
      <w:marTop w:val="0"/>
      <w:marBottom w:val="0"/>
      <w:divBdr>
        <w:top w:val="none" w:sz="0" w:space="0" w:color="auto"/>
        <w:left w:val="none" w:sz="0" w:space="0" w:color="auto"/>
        <w:bottom w:val="none" w:sz="0" w:space="0" w:color="auto"/>
        <w:right w:val="none" w:sz="0" w:space="0" w:color="auto"/>
      </w:divBdr>
      <w:divsChild>
        <w:div w:id="691296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076563">
      <w:bodyDiv w:val="1"/>
      <w:marLeft w:val="0"/>
      <w:marRight w:val="0"/>
      <w:marTop w:val="0"/>
      <w:marBottom w:val="0"/>
      <w:divBdr>
        <w:top w:val="none" w:sz="0" w:space="0" w:color="auto"/>
        <w:left w:val="none" w:sz="0" w:space="0" w:color="auto"/>
        <w:bottom w:val="none" w:sz="0" w:space="0" w:color="auto"/>
        <w:right w:val="none" w:sz="0" w:space="0" w:color="auto"/>
      </w:divBdr>
    </w:div>
    <w:div w:id="302392479">
      <w:bodyDiv w:val="1"/>
      <w:marLeft w:val="0"/>
      <w:marRight w:val="0"/>
      <w:marTop w:val="0"/>
      <w:marBottom w:val="0"/>
      <w:divBdr>
        <w:top w:val="none" w:sz="0" w:space="0" w:color="auto"/>
        <w:left w:val="none" w:sz="0" w:space="0" w:color="auto"/>
        <w:bottom w:val="none" w:sz="0" w:space="0" w:color="auto"/>
        <w:right w:val="none" w:sz="0" w:space="0" w:color="auto"/>
      </w:divBdr>
    </w:div>
    <w:div w:id="307632193">
      <w:bodyDiv w:val="1"/>
      <w:marLeft w:val="0"/>
      <w:marRight w:val="0"/>
      <w:marTop w:val="0"/>
      <w:marBottom w:val="0"/>
      <w:divBdr>
        <w:top w:val="none" w:sz="0" w:space="0" w:color="auto"/>
        <w:left w:val="none" w:sz="0" w:space="0" w:color="auto"/>
        <w:bottom w:val="none" w:sz="0" w:space="0" w:color="auto"/>
        <w:right w:val="none" w:sz="0" w:space="0" w:color="auto"/>
      </w:divBdr>
    </w:div>
    <w:div w:id="352076726">
      <w:bodyDiv w:val="1"/>
      <w:marLeft w:val="0"/>
      <w:marRight w:val="0"/>
      <w:marTop w:val="0"/>
      <w:marBottom w:val="0"/>
      <w:divBdr>
        <w:top w:val="none" w:sz="0" w:space="0" w:color="auto"/>
        <w:left w:val="none" w:sz="0" w:space="0" w:color="auto"/>
        <w:bottom w:val="none" w:sz="0" w:space="0" w:color="auto"/>
        <w:right w:val="none" w:sz="0" w:space="0" w:color="auto"/>
      </w:divBdr>
    </w:div>
    <w:div w:id="368996816">
      <w:bodyDiv w:val="1"/>
      <w:marLeft w:val="0"/>
      <w:marRight w:val="0"/>
      <w:marTop w:val="0"/>
      <w:marBottom w:val="0"/>
      <w:divBdr>
        <w:top w:val="none" w:sz="0" w:space="0" w:color="auto"/>
        <w:left w:val="none" w:sz="0" w:space="0" w:color="auto"/>
        <w:bottom w:val="none" w:sz="0" w:space="0" w:color="auto"/>
        <w:right w:val="none" w:sz="0" w:space="0" w:color="auto"/>
      </w:divBdr>
    </w:div>
    <w:div w:id="370150861">
      <w:bodyDiv w:val="1"/>
      <w:marLeft w:val="0"/>
      <w:marRight w:val="0"/>
      <w:marTop w:val="0"/>
      <w:marBottom w:val="0"/>
      <w:divBdr>
        <w:top w:val="none" w:sz="0" w:space="0" w:color="auto"/>
        <w:left w:val="none" w:sz="0" w:space="0" w:color="auto"/>
        <w:bottom w:val="none" w:sz="0" w:space="0" w:color="auto"/>
        <w:right w:val="none" w:sz="0" w:space="0" w:color="auto"/>
      </w:divBdr>
    </w:div>
    <w:div w:id="371612541">
      <w:bodyDiv w:val="1"/>
      <w:marLeft w:val="0"/>
      <w:marRight w:val="0"/>
      <w:marTop w:val="0"/>
      <w:marBottom w:val="0"/>
      <w:divBdr>
        <w:top w:val="none" w:sz="0" w:space="0" w:color="auto"/>
        <w:left w:val="none" w:sz="0" w:space="0" w:color="auto"/>
        <w:bottom w:val="none" w:sz="0" w:space="0" w:color="auto"/>
        <w:right w:val="none" w:sz="0" w:space="0" w:color="auto"/>
      </w:divBdr>
    </w:div>
    <w:div w:id="374895785">
      <w:bodyDiv w:val="1"/>
      <w:marLeft w:val="0"/>
      <w:marRight w:val="0"/>
      <w:marTop w:val="0"/>
      <w:marBottom w:val="0"/>
      <w:divBdr>
        <w:top w:val="none" w:sz="0" w:space="0" w:color="auto"/>
        <w:left w:val="none" w:sz="0" w:space="0" w:color="auto"/>
        <w:bottom w:val="none" w:sz="0" w:space="0" w:color="auto"/>
        <w:right w:val="none" w:sz="0" w:space="0" w:color="auto"/>
      </w:divBdr>
    </w:div>
    <w:div w:id="380448173">
      <w:bodyDiv w:val="1"/>
      <w:marLeft w:val="0"/>
      <w:marRight w:val="0"/>
      <w:marTop w:val="0"/>
      <w:marBottom w:val="0"/>
      <w:divBdr>
        <w:top w:val="none" w:sz="0" w:space="0" w:color="auto"/>
        <w:left w:val="none" w:sz="0" w:space="0" w:color="auto"/>
        <w:bottom w:val="none" w:sz="0" w:space="0" w:color="auto"/>
        <w:right w:val="none" w:sz="0" w:space="0" w:color="auto"/>
      </w:divBdr>
    </w:div>
    <w:div w:id="386612951">
      <w:bodyDiv w:val="1"/>
      <w:marLeft w:val="0"/>
      <w:marRight w:val="0"/>
      <w:marTop w:val="0"/>
      <w:marBottom w:val="0"/>
      <w:divBdr>
        <w:top w:val="none" w:sz="0" w:space="0" w:color="auto"/>
        <w:left w:val="none" w:sz="0" w:space="0" w:color="auto"/>
        <w:bottom w:val="none" w:sz="0" w:space="0" w:color="auto"/>
        <w:right w:val="none" w:sz="0" w:space="0" w:color="auto"/>
      </w:divBdr>
    </w:div>
    <w:div w:id="396628801">
      <w:bodyDiv w:val="1"/>
      <w:marLeft w:val="0"/>
      <w:marRight w:val="0"/>
      <w:marTop w:val="0"/>
      <w:marBottom w:val="0"/>
      <w:divBdr>
        <w:top w:val="none" w:sz="0" w:space="0" w:color="auto"/>
        <w:left w:val="none" w:sz="0" w:space="0" w:color="auto"/>
        <w:bottom w:val="none" w:sz="0" w:space="0" w:color="auto"/>
        <w:right w:val="none" w:sz="0" w:space="0" w:color="auto"/>
      </w:divBdr>
    </w:div>
    <w:div w:id="397754263">
      <w:bodyDiv w:val="1"/>
      <w:marLeft w:val="0"/>
      <w:marRight w:val="0"/>
      <w:marTop w:val="0"/>
      <w:marBottom w:val="0"/>
      <w:divBdr>
        <w:top w:val="none" w:sz="0" w:space="0" w:color="auto"/>
        <w:left w:val="none" w:sz="0" w:space="0" w:color="auto"/>
        <w:bottom w:val="none" w:sz="0" w:space="0" w:color="auto"/>
        <w:right w:val="none" w:sz="0" w:space="0" w:color="auto"/>
      </w:divBdr>
    </w:div>
    <w:div w:id="400326503">
      <w:bodyDiv w:val="1"/>
      <w:marLeft w:val="0"/>
      <w:marRight w:val="0"/>
      <w:marTop w:val="0"/>
      <w:marBottom w:val="0"/>
      <w:divBdr>
        <w:top w:val="none" w:sz="0" w:space="0" w:color="auto"/>
        <w:left w:val="none" w:sz="0" w:space="0" w:color="auto"/>
        <w:bottom w:val="none" w:sz="0" w:space="0" w:color="auto"/>
        <w:right w:val="none" w:sz="0" w:space="0" w:color="auto"/>
      </w:divBdr>
    </w:div>
    <w:div w:id="434324040">
      <w:bodyDiv w:val="1"/>
      <w:marLeft w:val="0"/>
      <w:marRight w:val="0"/>
      <w:marTop w:val="0"/>
      <w:marBottom w:val="0"/>
      <w:divBdr>
        <w:top w:val="none" w:sz="0" w:space="0" w:color="auto"/>
        <w:left w:val="none" w:sz="0" w:space="0" w:color="auto"/>
        <w:bottom w:val="none" w:sz="0" w:space="0" w:color="auto"/>
        <w:right w:val="none" w:sz="0" w:space="0" w:color="auto"/>
      </w:divBdr>
    </w:div>
    <w:div w:id="435638468">
      <w:bodyDiv w:val="1"/>
      <w:marLeft w:val="0"/>
      <w:marRight w:val="0"/>
      <w:marTop w:val="0"/>
      <w:marBottom w:val="0"/>
      <w:divBdr>
        <w:top w:val="none" w:sz="0" w:space="0" w:color="auto"/>
        <w:left w:val="none" w:sz="0" w:space="0" w:color="auto"/>
        <w:bottom w:val="none" w:sz="0" w:space="0" w:color="auto"/>
        <w:right w:val="none" w:sz="0" w:space="0" w:color="auto"/>
      </w:divBdr>
      <w:divsChild>
        <w:div w:id="1242835354">
          <w:marLeft w:val="720"/>
          <w:marRight w:val="0"/>
          <w:marTop w:val="0"/>
          <w:marBottom w:val="0"/>
          <w:divBdr>
            <w:top w:val="none" w:sz="0" w:space="0" w:color="auto"/>
            <w:left w:val="none" w:sz="0" w:space="0" w:color="auto"/>
            <w:bottom w:val="none" w:sz="0" w:space="0" w:color="auto"/>
            <w:right w:val="none" w:sz="0" w:space="0" w:color="auto"/>
          </w:divBdr>
        </w:div>
      </w:divsChild>
    </w:div>
    <w:div w:id="465858448">
      <w:bodyDiv w:val="1"/>
      <w:marLeft w:val="0"/>
      <w:marRight w:val="0"/>
      <w:marTop w:val="0"/>
      <w:marBottom w:val="0"/>
      <w:divBdr>
        <w:top w:val="none" w:sz="0" w:space="0" w:color="auto"/>
        <w:left w:val="none" w:sz="0" w:space="0" w:color="auto"/>
        <w:bottom w:val="none" w:sz="0" w:space="0" w:color="auto"/>
        <w:right w:val="none" w:sz="0" w:space="0" w:color="auto"/>
      </w:divBdr>
    </w:div>
    <w:div w:id="507063817">
      <w:bodyDiv w:val="1"/>
      <w:marLeft w:val="0"/>
      <w:marRight w:val="0"/>
      <w:marTop w:val="0"/>
      <w:marBottom w:val="0"/>
      <w:divBdr>
        <w:top w:val="none" w:sz="0" w:space="0" w:color="auto"/>
        <w:left w:val="none" w:sz="0" w:space="0" w:color="auto"/>
        <w:bottom w:val="none" w:sz="0" w:space="0" w:color="auto"/>
        <w:right w:val="none" w:sz="0" w:space="0" w:color="auto"/>
      </w:divBdr>
    </w:div>
    <w:div w:id="512182083">
      <w:bodyDiv w:val="1"/>
      <w:marLeft w:val="0"/>
      <w:marRight w:val="0"/>
      <w:marTop w:val="0"/>
      <w:marBottom w:val="0"/>
      <w:divBdr>
        <w:top w:val="none" w:sz="0" w:space="0" w:color="auto"/>
        <w:left w:val="none" w:sz="0" w:space="0" w:color="auto"/>
        <w:bottom w:val="none" w:sz="0" w:space="0" w:color="auto"/>
        <w:right w:val="none" w:sz="0" w:space="0" w:color="auto"/>
      </w:divBdr>
    </w:div>
    <w:div w:id="515072916">
      <w:bodyDiv w:val="1"/>
      <w:marLeft w:val="0"/>
      <w:marRight w:val="0"/>
      <w:marTop w:val="0"/>
      <w:marBottom w:val="0"/>
      <w:divBdr>
        <w:top w:val="none" w:sz="0" w:space="0" w:color="auto"/>
        <w:left w:val="none" w:sz="0" w:space="0" w:color="auto"/>
        <w:bottom w:val="none" w:sz="0" w:space="0" w:color="auto"/>
        <w:right w:val="none" w:sz="0" w:space="0" w:color="auto"/>
      </w:divBdr>
    </w:div>
    <w:div w:id="516358203">
      <w:bodyDiv w:val="1"/>
      <w:marLeft w:val="0"/>
      <w:marRight w:val="0"/>
      <w:marTop w:val="0"/>
      <w:marBottom w:val="0"/>
      <w:divBdr>
        <w:top w:val="none" w:sz="0" w:space="0" w:color="auto"/>
        <w:left w:val="none" w:sz="0" w:space="0" w:color="auto"/>
        <w:bottom w:val="none" w:sz="0" w:space="0" w:color="auto"/>
        <w:right w:val="none" w:sz="0" w:space="0" w:color="auto"/>
      </w:divBdr>
    </w:div>
    <w:div w:id="586695987">
      <w:bodyDiv w:val="1"/>
      <w:marLeft w:val="0"/>
      <w:marRight w:val="0"/>
      <w:marTop w:val="0"/>
      <w:marBottom w:val="0"/>
      <w:divBdr>
        <w:top w:val="none" w:sz="0" w:space="0" w:color="auto"/>
        <w:left w:val="none" w:sz="0" w:space="0" w:color="auto"/>
        <w:bottom w:val="none" w:sz="0" w:space="0" w:color="auto"/>
        <w:right w:val="none" w:sz="0" w:space="0" w:color="auto"/>
      </w:divBdr>
    </w:div>
    <w:div w:id="591814728">
      <w:bodyDiv w:val="1"/>
      <w:marLeft w:val="0"/>
      <w:marRight w:val="0"/>
      <w:marTop w:val="0"/>
      <w:marBottom w:val="0"/>
      <w:divBdr>
        <w:top w:val="none" w:sz="0" w:space="0" w:color="auto"/>
        <w:left w:val="none" w:sz="0" w:space="0" w:color="auto"/>
        <w:bottom w:val="none" w:sz="0" w:space="0" w:color="auto"/>
        <w:right w:val="none" w:sz="0" w:space="0" w:color="auto"/>
      </w:divBdr>
    </w:div>
    <w:div w:id="625309961">
      <w:bodyDiv w:val="1"/>
      <w:marLeft w:val="0"/>
      <w:marRight w:val="0"/>
      <w:marTop w:val="0"/>
      <w:marBottom w:val="0"/>
      <w:divBdr>
        <w:top w:val="none" w:sz="0" w:space="0" w:color="auto"/>
        <w:left w:val="none" w:sz="0" w:space="0" w:color="auto"/>
        <w:bottom w:val="none" w:sz="0" w:space="0" w:color="auto"/>
        <w:right w:val="none" w:sz="0" w:space="0" w:color="auto"/>
      </w:divBdr>
    </w:div>
    <w:div w:id="642275737">
      <w:bodyDiv w:val="1"/>
      <w:marLeft w:val="0"/>
      <w:marRight w:val="0"/>
      <w:marTop w:val="0"/>
      <w:marBottom w:val="0"/>
      <w:divBdr>
        <w:top w:val="none" w:sz="0" w:space="0" w:color="auto"/>
        <w:left w:val="none" w:sz="0" w:space="0" w:color="auto"/>
        <w:bottom w:val="none" w:sz="0" w:space="0" w:color="auto"/>
        <w:right w:val="none" w:sz="0" w:space="0" w:color="auto"/>
      </w:divBdr>
    </w:div>
    <w:div w:id="650215118">
      <w:bodyDiv w:val="1"/>
      <w:marLeft w:val="0"/>
      <w:marRight w:val="0"/>
      <w:marTop w:val="0"/>
      <w:marBottom w:val="0"/>
      <w:divBdr>
        <w:top w:val="none" w:sz="0" w:space="0" w:color="auto"/>
        <w:left w:val="none" w:sz="0" w:space="0" w:color="auto"/>
        <w:bottom w:val="none" w:sz="0" w:space="0" w:color="auto"/>
        <w:right w:val="none" w:sz="0" w:space="0" w:color="auto"/>
      </w:divBdr>
    </w:div>
    <w:div w:id="668945801">
      <w:bodyDiv w:val="1"/>
      <w:marLeft w:val="0"/>
      <w:marRight w:val="0"/>
      <w:marTop w:val="0"/>
      <w:marBottom w:val="0"/>
      <w:divBdr>
        <w:top w:val="none" w:sz="0" w:space="0" w:color="auto"/>
        <w:left w:val="none" w:sz="0" w:space="0" w:color="auto"/>
        <w:bottom w:val="none" w:sz="0" w:space="0" w:color="auto"/>
        <w:right w:val="none" w:sz="0" w:space="0" w:color="auto"/>
      </w:divBdr>
    </w:div>
    <w:div w:id="718668691">
      <w:bodyDiv w:val="1"/>
      <w:marLeft w:val="0"/>
      <w:marRight w:val="0"/>
      <w:marTop w:val="0"/>
      <w:marBottom w:val="0"/>
      <w:divBdr>
        <w:top w:val="none" w:sz="0" w:space="0" w:color="auto"/>
        <w:left w:val="none" w:sz="0" w:space="0" w:color="auto"/>
        <w:bottom w:val="none" w:sz="0" w:space="0" w:color="auto"/>
        <w:right w:val="none" w:sz="0" w:space="0" w:color="auto"/>
      </w:divBdr>
    </w:div>
    <w:div w:id="719669236">
      <w:bodyDiv w:val="1"/>
      <w:marLeft w:val="0"/>
      <w:marRight w:val="0"/>
      <w:marTop w:val="0"/>
      <w:marBottom w:val="0"/>
      <w:divBdr>
        <w:top w:val="none" w:sz="0" w:space="0" w:color="auto"/>
        <w:left w:val="none" w:sz="0" w:space="0" w:color="auto"/>
        <w:bottom w:val="none" w:sz="0" w:space="0" w:color="auto"/>
        <w:right w:val="none" w:sz="0" w:space="0" w:color="auto"/>
      </w:divBdr>
    </w:div>
    <w:div w:id="729230348">
      <w:bodyDiv w:val="1"/>
      <w:marLeft w:val="0"/>
      <w:marRight w:val="0"/>
      <w:marTop w:val="0"/>
      <w:marBottom w:val="0"/>
      <w:divBdr>
        <w:top w:val="none" w:sz="0" w:space="0" w:color="auto"/>
        <w:left w:val="none" w:sz="0" w:space="0" w:color="auto"/>
        <w:bottom w:val="none" w:sz="0" w:space="0" w:color="auto"/>
        <w:right w:val="none" w:sz="0" w:space="0" w:color="auto"/>
      </w:divBdr>
    </w:div>
    <w:div w:id="740718348">
      <w:bodyDiv w:val="1"/>
      <w:marLeft w:val="0"/>
      <w:marRight w:val="0"/>
      <w:marTop w:val="0"/>
      <w:marBottom w:val="0"/>
      <w:divBdr>
        <w:top w:val="none" w:sz="0" w:space="0" w:color="auto"/>
        <w:left w:val="none" w:sz="0" w:space="0" w:color="auto"/>
        <w:bottom w:val="none" w:sz="0" w:space="0" w:color="auto"/>
        <w:right w:val="none" w:sz="0" w:space="0" w:color="auto"/>
      </w:divBdr>
    </w:div>
    <w:div w:id="753432977">
      <w:bodyDiv w:val="1"/>
      <w:marLeft w:val="0"/>
      <w:marRight w:val="0"/>
      <w:marTop w:val="0"/>
      <w:marBottom w:val="0"/>
      <w:divBdr>
        <w:top w:val="none" w:sz="0" w:space="0" w:color="auto"/>
        <w:left w:val="none" w:sz="0" w:space="0" w:color="auto"/>
        <w:bottom w:val="none" w:sz="0" w:space="0" w:color="auto"/>
        <w:right w:val="none" w:sz="0" w:space="0" w:color="auto"/>
      </w:divBdr>
    </w:div>
    <w:div w:id="777483491">
      <w:bodyDiv w:val="1"/>
      <w:marLeft w:val="0"/>
      <w:marRight w:val="0"/>
      <w:marTop w:val="0"/>
      <w:marBottom w:val="0"/>
      <w:divBdr>
        <w:top w:val="none" w:sz="0" w:space="0" w:color="auto"/>
        <w:left w:val="none" w:sz="0" w:space="0" w:color="auto"/>
        <w:bottom w:val="none" w:sz="0" w:space="0" w:color="auto"/>
        <w:right w:val="none" w:sz="0" w:space="0" w:color="auto"/>
      </w:divBdr>
    </w:div>
    <w:div w:id="788551590">
      <w:bodyDiv w:val="1"/>
      <w:marLeft w:val="0"/>
      <w:marRight w:val="0"/>
      <w:marTop w:val="0"/>
      <w:marBottom w:val="0"/>
      <w:divBdr>
        <w:top w:val="none" w:sz="0" w:space="0" w:color="auto"/>
        <w:left w:val="none" w:sz="0" w:space="0" w:color="auto"/>
        <w:bottom w:val="none" w:sz="0" w:space="0" w:color="auto"/>
        <w:right w:val="none" w:sz="0" w:space="0" w:color="auto"/>
      </w:divBdr>
    </w:div>
    <w:div w:id="869151313">
      <w:bodyDiv w:val="1"/>
      <w:marLeft w:val="0"/>
      <w:marRight w:val="0"/>
      <w:marTop w:val="0"/>
      <w:marBottom w:val="0"/>
      <w:divBdr>
        <w:top w:val="none" w:sz="0" w:space="0" w:color="auto"/>
        <w:left w:val="none" w:sz="0" w:space="0" w:color="auto"/>
        <w:bottom w:val="none" w:sz="0" w:space="0" w:color="auto"/>
        <w:right w:val="none" w:sz="0" w:space="0" w:color="auto"/>
      </w:divBdr>
    </w:div>
    <w:div w:id="874273406">
      <w:bodyDiv w:val="1"/>
      <w:marLeft w:val="0"/>
      <w:marRight w:val="0"/>
      <w:marTop w:val="0"/>
      <w:marBottom w:val="0"/>
      <w:divBdr>
        <w:top w:val="none" w:sz="0" w:space="0" w:color="auto"/>
        <w:left w:val="none" w:sz="0" w:space="0" w:color="auto"/>
        <w:bottom w:val="none" w:sz="0" w:space="0" w:color="auto"/>
        <w:right w:val="none" w:sz="0" w:space="0" w:color="auto"/>
      </w:divBdr>
    </w:div>
    <w:div w:id="878469347">
      <w:bodyDiv w:val="1"/>
      <w:marLeft w:val="0"/>
      <w:marRight w:val="0"/>
      <w:marTop w:val="0"/>
      <w:marBottom w:val="0"/>
      <w:divBdr>
        <w:top w:val="none" w:sz="0" w:space="0" w:color="auto"/>
        <w:left w:val="none" w:sz="0" w:space="0" w:color="auto"/>
        <w:bottom w:val="none" w:sz="0" w:space="0" w:color="auto"/>
        <w:right w:val="none" w:sz="0" w:space="0" w:color="auto"/>
      </w:divBdr>
    </w:div>
    <w:div w:id="916787946">
      <w:bodyDiv w:val="1"/>
      <w:marLeft w:val="0"/>
      <w:marRight w:val="0"/>
      <w:marTop w:val="0"/>
      <w:marBottom w:val="0"/>
      <w:divBdr>
        <w:top w:val="none" w:sz="0" w:space="0" w:color="auto"/>
        <w:left w:val="none" w:sz="0" w:space="0" w:color="auto"/>
        <w:bottom w:val="none" w:sz="0" w:space="0" w:color="auto"/>
        <w:right w:val="none" w:sz="0" w:space="0" w:color="auto"/>
      </w:divBdr>
    </w:div>
    <w:div w:id="932054381">
      <w:bodyDiv w:val="1"/>
      <w:marLeft w:val="0"/>
      <w:marRight w:val="0"/>
      <w:marTop w:val="0"/>
      <w:marBottom w:val="0"/>
      <w:divBdr>
        <w:top w:val="none" w:sz="0" w:space="0" w:color="auto"/>
        <w:left w:val="none" w:sz="0" w:space="0" w:color="auto"/>
        <w:bottom w:val="none" w:sz="0" w:space="0" w:color="auto"/>
        <w:right w:val="none" w:sz="0" w:space="0" w:color="auto"/>
      </w:divBdr>
    </w:div>
    <w:div w:id="932906812">
      <w:bodyDiv w:val="1"/>
      <w:marLeft w:val="0"/>
      <w:marRight w:val="0"/>
      <w:marTop w:val="0"/>
      <w:marBottom w:val="0"/>
      <w:divBdr>
        <w:top w:val="none" w:sz="0" w:space="0" w:color="auto"/>
        <w:left w:val="none" w:sz="0" w:space="0" w:color="auto"/>
        <w:bottom w:val="none" w:sz="0" w:space="0" w:color="auto"/>
        <w:right w:val="none" w:sz="0" w:space="0" w:color="auto"/>
      </w:divBdr>
    </w:div>
    <w:div w:id="949508829">
      <w:bodyDiv w:val="1"/>
      <w:marLeft w:val="0"/>
      <w:marRight w:val="0"/>
      <w:marTop w:val="0"/>
      <w:marBottom w:val="0"/>
      <w:divBdr>
        <w:top w:val="none" w:sz="0" w:space="0" w:color="auto"/>
        <w:left w:val="none" w:sz="0" w:space="0" w:color="auto"/>
        <w:bottom w:val="none" w:sz="0" w:space="0" w:color="auto"/>
        <w:right w:val="none" w:sz="0" w:space="0" w:color="auto"/>
      </w:divBdr>
    </w:div>
    <w:div w:id="964389236">
      <w:bodyDiv w:val="1"/>
      <w:marLeft w:val="0"/>
      <w:marRight w:val="0"/>
      <w:marTop w:val="0"/>
      <w:marBottom w:val="0"/>
      <w:divBdr>
        <w:top w:val="none" w:sz="0" w:space="0" w:color="auto"/>
        <w:left w:val="none" w:sz="0" w:space="0" w:color="auto"/>
        <w:bottom w:val="none" w:sz="0" w:space="0" w:color="auto"/>
        <w:right w:val="none" w:sz="0" w:space="0" w:color="auto"/>
      </w:divBdr>
    </w:div>
    <w:div w:id="969437797">
      <w:bodyDiv w:val="1"/>
      <w:marLeft w:val="0"/>
      <w:marRight w:val="0"/>
      <w:marTop w:val="0"/>
      <w:marBottom w:val="0"/>
      <w:divBdr>
        <w:top w:val="none" w:sz="0" w:space="0" w:color="auto"/>
        <w:left w:val="none" w:sz="0" w:space="0" w:color="auto"/>
        <w:bottom w:val="none" w:sz="0" w:space="0" w:color="auto"/>
        <w:right w:val="none" w:sz="0" w:space="0" w:color="auto"/>
      </w:divBdr>
    </w:div>
    <w:div w:id="1014765761">
      <w:bodyDiv w:val="1"/>
      <w:marLeft w:val="0"/>
      <w:marRight w:val="0"/>
      <w:marTop w:val="0"/>
      <w:marBottom w:val="0"/>
      <w:divBdr>
        <w:top w:val="none" w:sz="0" w:space="0" w:color="auto"/>
        <w:left w:val="none" w:sz="0" w:space="0" w:color="auto"/>
        <w:bottom w:val="none" w:sz="0" w:space="0" w:color="auto"/>
        <w:right w:val="none" w:sz="0" w:space="0" w:color="auto"/>
      </w:divBdr>
    </w:div>
    <w:div w:id="1068189922">
      <w:bodyDiv w:val="1"/>
      <w:marLeft w:val="0"/>
      <w:marRight w:val="0"/>
      <w:marTop w:val="0"/>
      <w:marBottom w:val="0"/>
      <w:divBdr>
        <w:top w:val="none" w:sz="0" w:space="0" w:color="auto"/>
        <w:left w:val="none" w:sz="0" w:space="0" w:color="auto"/>
        <w:bottom w:val="none" w:sz="0" w:space="0" w:color="auto"/>
        <w:right w:val="none" w:sz="0" w:space="0" w:color="auto"/>
      </w:divBdr>
    </w:div>
    <w:div w:id="1084761105">
      <w:bodyDiv w:val="1"/>
      <w:marLeft w:val="0"/>
      <w:marRight w:val="0"/>
      <w:marTop w:val="0"/>
      <w:marBottom w:val="0"/>
      <w:divBdr>
        <w:top w:val="none" w:sz="0" w:space="0" w:color="auto"/>
        <w:left w:val="none" w:sz="0" w:space="0" w:color="auto"/>
        <w:bottom w:val="none" w:sz="0" w:space="0" w:color="auto"/>
        <w:right w:val="none" w:sz="0" w:space="0" w:color="auto"/>
      </w:divBdr>
    </w:div>
    <w:div w:id="1086534121">
      <w:bodyDiv w:val="1"/>
      <w:marLeft w:val="0"/>
      <w:marRight w:val="0"/>
      <w:marTop w:val="0"/>
      <w:marBottom w:val="0"/>
      <w:divBdr>
        <w:top w:val="none" w:sz="0" w:space="0" w:color="auto"/>
        <w:left w:val="none" w:sz="0" w:space="0" w:color="auto"/>
        <w:bottom w:val="none" w:sz="0" w:space="0" w:color="auto"/>
        <w:right w:val="none" w:sz="0" w:space="0" w:color="auto"/>
      </w:divBdr>
    </w:div>
    <w:div w:id="1127042718">
      <w:bodyDiv w:val="1"/>
      <w:marLeft w:val="0"/>
      <w:marRight w:val="0"/>
      <w:marTop w:val="0"/>
      <w:marBottom w:val="0"/>
      <w:divBdr>
        <w:top w:val="none" w:sz="0" w:space="0" w:color="auto"/>
        <w:left w:val="none" w:sz="0" w:space="0" w:color="auto"/>
        <w:bottom w:val="none" w:sz="0" w:space="0" w:color="auto"/>
        <w:right w:val="none" w:sz="0" w:space="0" w:color="auto"/>
      </w:divBdr>
    </w:div>
    <w:div w:id="1143547888">
      <w:bodyDiv w:val="1"/>
      <w:marLeft w:val="0"/>
      <w:marRight w:val="0"/>
      <w:marTop w:val="0"/>
      <w:marBottom w:val="0"/>
      <w:divBdr>
        <w:top w:val="none" w:sz="0" w:space="0" w:color="auto"/>
        <w:left w:val="none" w:sz="0" w:space="0" w:color="auto"/>
        <w:bottom w:val="none" w:sz="0" w:space="0" w:color="auto"/>
        <w:right w:val="none" w:sz="0" w:space="0" w:color="auto"/>
      </w:divBdr>
    </w:div>
    <w:div w:id="1155492804">
      <w:bodyDiv w:val="1"/>
      <w:marLeft w:val="0"/>
      <w:marRight w:val="0"/>
      <w:marTop w:val="0"/>
      <w:marBottom w:val="0"/>
      <w:divBdr>
        <w:top w:val="none" w:sz="0" w:space="0" w:color="auto"/>
        <w:left w:val="none" w:sz="0" w:space="0" w:color="auto"/>
        <w:bottom w:val="none" w:sz="0" w:space="0" w:color="auto"/>
        <w:right w:val="none" w:sz="0" w:space="0" w:color="auto"/>
      </w:divBdr>
      <w:divsChild>
        <w:div w:id="3180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580365">
      <w:bodyDiv w:val="1"/>
      <w:marLeft w:val="0"/>
      <w:marRight w:val="0"/>
      <w:marTop w:val="0"/>
      <w:marBottom w:val="0"/>
      <w:divBdr>
        <w:top w:val="none" w:sz="0" w:space="0" w:color="auto"/>
        <w:left w:val="none" w:sz="0" w:space="0" w:color="auto"/>
        <w:bottom w:val="none" w:sz="0" w:space="0" w:color="auto"/>
        <w:right w:val="none" w:sz="0" w:space="0" w:color="auto"/>
      </w:divBdr>
    </w:div>
    <w:div w:id="1240023338">
      <w:bodyDiv w:val="1"/>
      <w:marLeft w:val="0"/>
      <w:marRight w:val="0"/>
      <w:marTop w:val="0"/>
      <w:marBottom w:val="0"/>
      <w:divBdr>
        <w:top w:val="none" w:sz="0" w:space="0" w:color="auto"/>
        <w:left w:val="none" w:sz="0" w:space="0" w:color="auto"/>
        <w:bottom w:val="none" w:sz="0" w:space="0" w:color="auto"/>
        <w:right w:val="none" w:sz="0" w:space="0" w:color="auto"/>
      </w:divBdr>
    </w:div>
    <w:div w:id="1267814823">
      <w:bodyDiv w:val="1"/>
      <w:marLeft w:val="0"/>
      <w:marRight w:val="0"/>
      <w:marTop w:val="0"/>
      <w:marBottom w:val="0"/>
      <w:divBdr>
        <w:top w:val="none" w:sz="0" w:space="0" w:color="auto"/>
        <w:left w:val="none" w:sz="0" w:space="0" w:color="auto"/>
        <w:bottom w:val="none" w:sz="0" w:space="0" w:color="auto"/>
        <w:right w:val="none" w:sz="0" w:space="0" w:color="auto"/>
      </w:divBdr>
    </w:div>
    <w:div w:id="1280261614">
      <w:bodyDiv w:val="1"/>
      <w:marLeft w:val="0"/>
      <w:marRight w:val="0"/>
      <w:marTop w:val="0"/>
      <w:marBottom w:val="0"/>
      <w:divBdr>
        <w:top w:val="none" w:sz="0" w:space="0" w:color="auto"/>
        <w:left w:val="none" w:sz="0" w:space="0" w:color="auto"/>
        <w:bottom w:val="none" w:sz="0" w:space="0" w:color="auto"/>
        <w:right w:val="none" w:sz="0" w:space="0" w:color="auto"/>
      </w:divBdr>
    </w:div>
    <w:div w:id="1299798684">
      <w:bodyDiv w:val="1"/>
      <w:marLeft w:val="0"/>
      <w:marRight w:val="0"/>
      <w:marTop w:val="0"/>
      <w:marBottom w:val="0"/>
      <w:divBdr>
        <w:top w:val="none" w:sz="0" w:space="0" w:color="auto"/>
        <w:left w:val="none" w:sz="0" w:space="0" w:color="auto"/>
        <w:bottom w:val="none" w:sz="0" w:space="0" w:color="auto"/>
        <w:right w:val="none" w:sz="0" w:space="0" w:color="auto"/>
      </w:divBdr>
    </w:div>
    <w:div w:id="1304777908">
      <w:bodyDiv w:val="1"/>
      <w:marLeft w:val="0"/>
      <w:marRight w:val="0"/>
      <w:marTop w:val="0"/>
      <w:marBottom w:val="0"/>
      <w:divBdr>
        <w:top w:val="none" w:sz="0" w:space="0" w:color="auto"/>
        <w:left w:val="none" w:sz="0" w:space="0" w:color="auto"/>
        <w:bottom w:val="none" w:sz="0" w:space="0" w:color="auto"/>
        <w:right w:val="none" w:sz="0" w:space="0" w:color="auto"/>
      </w:divBdr>
    </w:div>
    <w:div w:id="1310012772">
      <w:bodyDiv w:val="1"/>
      <w:marLeft w:val="0"/>
      <w:marRight w:val="0"/>
      <w:marTop w:val="0"/>
      <w:marBottom w:val="0"/>
      <w:divBdr>
        <w:top w:val="none" w:sz="0" w:space="0" w:color="auto"/>
        <w:left w:val="none" w:sz="0" w:space="0" w:color="auto"/>
        <w:bottom w:val="none" w:sz="0" w:space="0" w:color="auto"/>
        <w:right w:val="none" w:sz="0" w:space="0" w:color="auto"/>
      </w:divBdr>
    </w:div>
    <w:div w:id="1329595292">
      <w:bodyDiv w:val="1"/>
      <w:marLeft w:val="0"/>
      <w:marRight w:val="0"/>
      <w:marTop w:val="0"/>
      <w:marBottom w:val="0"/>
      <w:divBdr>
        <w:top w:val="none" w:sz="0" w:space="0" w:color="auto"/>
        <w:left w:val="none" w:sz="0" w:space="0" w:color="auto"/>
        <w:bottom w:val="none" w:sz="0" w:space="0" w:color="auto"/>
        <w:right w:val="none" w:sz="0" w:space="0" w:color="auto"/>
      </w:divBdr>
    </w:div>
    <w:div w:id="1333141125">
      <w:bodyDiv w:val="1"/>
      <w:marLeft w:val="0"/>
      <w:marRight w:val="0"/>
      <w:marTop w:val="0"/>
      <w:marBottom w:val="0"/>
      <w:divBdr>
        <w:top w:val="none" w:sz="0" w:space="0" w:color="auto"/>
        <w:left w:val="none" w:sz="0" w:space="0" w:color="auto"/>
        <w:bottom w:val="none" w:sz="0" w:space="0" w:color="auto"/>
        <w:right w:val="none" w:sz="0" w:space="0" w:color="auto"/>
      </w:divBdr>
    </w:div>
    <w:div w:id="1385831353">
      <w:bodyDiv w:val="1"/>
      <w:marLeft w:val="0"/>
      <w:marRight w:val="0"/>
      <w:marTop w:val="0"/>
      <w:marBottom w:val="0"/>
      <w:divBdr>
        <w:top w:val="none" w:sz="0" w:space="0" w:color="auto"/>
        <w:left w:val="none" w:sz="0" w:space="0" w:color="auto"/>
        <w:bottom w:val="none" w:sz="0" w:space="0" w:color="auto"/>
        <w:right w:val="none" w:sz="0" w:space="0" w:color="auto"/>
      </w:divBdr>
    </w:div>
    <w:div w:id="1394356098">
      <w:bodyDiv w:val="1"/>
      <w:marLeft w:val="0"/>
      <w:marRight w:val="0"/>
      <w:marTop w:val="0"/>
      <w:marBottom w:val="0"/>
      <w:divBdr>
        <w:top w:val="none" w:sz="0" w:space="0" w:color="auto"/>
        <w:left w:val="none" w:sz="0" w:space="0" w:color="auto"/>
        <w:bottom w:val="none" w:sz="0" w:space="0" w:color="auto"/>
        <w:right w:val="none" w:sz="0" w:space="0" w:color="auto"/>
      </w:divBdr>
    </w:div>
    <w:div w:id="1407997958">
      <w:bodyDiv w:val="1"/>
      <w:marLeft w:val="0"/>
      <w:marRight w:val="0"/>
      <w:marTop w:val="0"/>
      <w:marBottom w:val="0"/>
      <w:divBdr>
        <w:top w:val="none" w:sz="0" w:space="0" w:color="auto"/>
        <w:left w:val="none" w:sz="0" w:space="0" w:color="auto"/>
        <w:bottom w:val="none" w:sz="0" w:space="0" w:color="auto"/>
        <w:right w:val="none" w:sz="0" w:space="0" w:color="auto"/>
      </w:divBdr>
    </w:div>
    <w:div w:id="1451047659">
      <w:bodyDiv w:val="1"/>
      <w:marLeft w:val="0"/>
      <w:marRight w:val="0"/>
      <w:marTop w:val="0"/>
      <w:marBottom w:val="0"/>
      <w:divBdr>
        <w:top w:val="none" w:sz="0" w:space="0" w:color="auto"/>
        <w:left w:val="none" w:sz="0" w:space="0" w:color="auto"/>
        <w:bottom w:val="none" w:sz="0" w:space="0" w:color="auto"/>
        <w:right w:val="none" w:sz="0" w:space="0" w:color="auto"/>
      </w:divBdr>
    </w:div>
    <w:div w:id="1455247069">
      <w:bodyDiv w:val="1"/>
      <w:marLeft w:val="0"/>
      <w:marRight w:val="0"/>
      <w:marTop w:val="0"/>
      <w:marBottom w:val="0"/>
      <w:divBdr>
        <w:top w:val="none" w:sz="0" w:space="0" w:color="auto"/>
        <w:left w:val="none" w:sz="0" w:space="0" w:color="auto"/>
        <w:bottom w:val="none" w:sz="0" w:space="0" w:color="auto"/>
        <w:right w:val="none" w:sz="0" w:space="0" w:color="auto"/>
      </w:divBdr>
    </w:div>
    <w:div w:id="1473475996">
      <w:bodyDiv w:val="1"/>
      <w:marLeft w:val="0"/>
      <w:marRight w:val="0"/>
      <w:marTop w:val="0"/>
      <w:marBottom w:val="0"/>
      <w:divBdr>
        <w:top w:val="none" w:sz="0" w:space="0" w:color="auto"/>
        <w:left w:val="none" w:sz="0" w:space="0" w:color="auto"/>
        <w:bottom w:val="none" w:sz="0" w:space="0" w:color="auto"/>
        <w:right w:val="none" w:sz="0" w:space="0" w:color="auto"/>
      </w:divBdr>
    </w:div>
    <w:div w:id="1477722519">
      <w:bodyDiv w:val="1"/>
      <w:marLeft w:val="0"/>
      <w:marRight w:val="0"/>
      <w:marTop w:val="0"/>
      <w:marBottom w:val="0"/>
      <w:divBdr>
        <w:top w:val="none" w:sz="0" w:space="0" w:color="auto"/>
        <w:left w:val="none" w:sz="0" w:space="0" w:color="auto"/>
        <w:bottom w:val="none" w:sz="0" w:space="0" w:color="auto"/>
        <w:right w:val="none" w:sz="0" w:space="0" w:color="auto"/>
      </w:divBdr>
    </w:div>
    <w:div w:id="1480995124">
      <w:bodyDiv w:val="1"/>
      <w:marLeft w:val="0"/>
      <w:marRight w:val="0"/>
      <w:marTop w:val="0"/>
      <w:marBottom w:val="0"/>
      <w:divBdr>
        <w:top w:val="none" w:sz="0" w:space="0" w:color="auto"/>
        <w:left w:val="none" w:sz="0" w:space="0" w:color="auto"/>
        <w:bottom w:val="none" w:sz="0" w:space="0" w:color="auto"/>
        <w:right w:val="none" w:sz="0" w:space="0" w:color="auto"/>
      </w:divBdr>
    </w:div>
    <w:div w:id="1495879504">
      <w:bodyDiv w:val="1"/>
      <w:marLeft w:val="0"/>
      <w:marRight w:val="0"/>
      <w:marTop w:val="0"/>
      <w:marBottom w:val="0"/>
      <w:divBdr>
        <w:top w:val="none" w:sz="0" w:space="0" w:color="auto"/>
        <w:left w:val="none" w:sz="0" w:space="0" w:color="auto"/>
        <w:bottom w:val="none" w:sz="0" w:space="0" w:color="auto"/>
        <w:right w:val="none" w:sz="0" w:space="0" w:color="auto"/>
      </w:divBdr>
    </w:div>
    <w:div w:id="1509059306">
      <w:bodyDiv w:val="1"/>
      <w:marLeft w:val="0"/>
      <w:marRight w:val="0"/>
      <w:marTop w:val="0"/>
      <w:marBottom w:val="0"/>
      <w:divBdr>
        <w:top w:val="none" w:sz="0" w:space="0" w:color="auto"/>
        <w:left w:val="none" w:sz="0" w:space="0" w:color="auto"/>
        <w:bottom w:val="none" w:sz="0" w:space="0" w:color="auto"/>
        <w:right w:val="none" w:sz="0" w:space="0" w:color="auto"/>
      </w:divBdr>
    </w:div>
    <w:div w:id="1520848454">
      <w:bodyDiv w:val="1"/>
      <w:marLeft w:val="0"/>
      <w:marRight w:val="0"/>
      <w:marTop w:val="0"/>
      <w:marBottom w:val="0"/>
      <w:divBdr>
        <w:top w:val="none" w:sz="0" w:space="0" w:color="auto"/>
        <w:left w:val="none" w:sz="0" w:space="0" w:color="auto"/>
        <w:bottom w:val="none" w:sz="0" w:space="0" w:color="auto"/>
        <w:right w:val="none" w:sz="0" w:space="0" w:color="auto"/>
      </w:divBdr>
    </w:div>
    <w:div w:id="1530148261">
      <w:bodyDiv w:val="1"/>
      <w:marLeft w:val="0"/>
      <w:marRight w:val="0"/>
      <w:marTop w:val="0"/>
      <w:marBottom w:val="0"/>
      <w:divBdr>
        <w:top w:val="none" w:sz="0" w:space="0" w:color="auto"/>
        <w:left w:val="none" w:sz="0" w:space="0" w:color="auto"/>
        <w:bottom w:val="none" w:sz="0" w:space="0" w:color="auto"/>
        <w:right w:val="none" w:sz="0" w:space="0" w:color="auto"/>
      </w:divBdr>
    </w:div>
    <w:div w:id="1559781141">
      <w:bodyDiv w:val="1"/>
      <w:marLeft w:val="0"/>
      <w:marRight w:val="0"/>
      <w:marTop w:val="0"/>
      <w:marBottom w:val="0"/>
      <w:divBdr>
        <w:top w:val="none" w:sz="0" w:space="0" w:color="auto"/>
        <w:left w:val="none" w:sz="0" w:space="0" w:color="auto"/>
        <w:bottom w:val="none" w:sz="0" w:space="0" w:color="auto"/>
        <w:right w:val="none" w:sz="0" w:space="0" w:color="auto"/>
      </w:divBdr>
    </w:div>
    <w:div w:id="1580797326">
      <w:bodyDiv w:val="1"/>
      <w:marLeft w:val="0"/>
      <w:marRight w:val="0"/>
      <w:marTop w:val="0"/>
      <w:marBottom w:val="0"/>
      <w:divBdr>
        <w:top w:val="none" w:sz="0" w:space="0" w:color="auto"/>
        <w:left w:val="none" w:sz="0" w:space="0" w:color="auto"/>
        <w:bottom w:val="none" w:sz="0" w:space="0" w:color="auto"/>
        <w:right w:val="none" w:sz="0" w:space="0" w:color="auto"/>
      </w:divBdr>
    </w:div>
    <w:div w:id="1588688205">
      <w:bodyDiv w:val="1"/>
      <w:marLeft w:val="0"/>
      <w:marRight w:val="0"/>
      <w:marTop w:val="0"/>
      <w:marBottom w:val="0"/>
      <w:divBdr>
        <w:top w:val="none" w:sz="0" w:space="0" w:color="auto"/>
        <w:left w:val="none" w:sz="0" w:space="0" w:color="auto"/>
        <w:bottom w:val="none" w:sz="0" w:space="0" w:color="auto"/>
        <w:right w:val="none" w:sz="0" w:space="0" w:color="auto"/>
      </w:divBdr>
    </w:div>
    <w:div w:id="1596280495">
      <w:bodyDiv w:val="1"/>
      <w:marLeft w:val="0"/>
      <w:marRight w:val="0"/>
      <w:marTop w:val="0"/>
      <w:marBottom w:val="0"/>
      <w:divBdr>
        <w:top w:val="none" w:sz="0" w:space="0" w:color="auto"/>
        <w:left w:val="none" w:sz="0" w:space="0" w:color="auto"/>
        <w:bottom w:val="none" w:sz="0" w:space="0" w:color="auto"/>
        <w:right w:val="none" w:sz="0" w:space="0" w:color="auto"/>
      </w:divBdr>
    </w:div>
    <w:div w:id="1641888207">
      <w:bodyDiv w:val="1"/>
      <w:marLeft w:val="0"/>
      <w:marRight w:val="0"/>
      <w:marTop w:val="0"/>
      <w:marBottom w:val="0"/>
      <w:divBdr>
        <w:top w:val="none" w:sz="0" w:space="0" w:color="auto"/>
        <w:left w:val="none" w:sz="0" w:space="0" w:color="auto"/>
        <w:bottom w:val="none" w:sz="0" w:space="0" w:color="auto"/>
        <w:right w:val="none" w:sz="0" w:space="0" w:color="auto"/>
      </w:divBdr>
    </w:div>
    <w:div w:id="1647125517">
      <w:bodyDiv w:val="1"/>
      <w:marLeft w:val="0"/>
      <w:marRight w:val="0"/>
      <w:marTop w:val="0"/>
      <w:marBottom w:val="0"/>
      <w:divBdr>
        <w:top w:val="none" w:sz="0" w:space="0" w:color="auto"/>
        <w:left w:val="none" w:sz="0" w:space="0" w:color="auto"/>
        <w:bottom w:val="none" w:sz="0" w:space="0" w:color="auto"/>
        <w:right w:val="none" w:sz="0" w:space="0" w:color="auto"/>
      </w:divBdr>
    </w:div>
    <w:div w:id="1663461982">
      <w:bodyDiv w:val="1"/>
      <w:marLeft w:val="0"/>
      <w:marRight w:val="0"/>
      <w:marTop w:val="0"/>
      <w:marBottom w:val="0"/>
      <w:divBdr>
        <w:top w:val="none" w:sz="0" w:space="0" w:color="auto"/>
        <w:left w:val="none" w:sz="0" w:space="0" w:color="auto"/>
        <w:bottom w:val="none" w:sz="0" w:space="0" w:color="auto"/>
        <w:right w:val="none" w:sz="0" w:space="0" w:color="auto"/>
      </w:divBdr>
    </w:div>
    <w:div w:id="1686127430">
      <w:bodyDiv w:val="1"/>
      <w:marLeft w:val="0"/>
      <w:marRight w:val="0"/>
      <w:marTop w:val="0"/>
      <w:marBottom w:val="0"/>
      <w:divBdr>
        <w:top w:val="none" w:sz="0" w:space="0" w:color="auto"/>
        <w:left w:val="none" w:sz="0" w:space="0" w:color="auto"/>
        <w:bottom w:val="none" w:sz="0" w:space="0" w:color="auto"/>
        <w:right w:val="none" w:sz="0" w:space="0" w:color="auto"/>
      </w:divBdr>
    </w:div>
    <w:div w:id="1745446098">
      <w:bodyDiv w:val="1"/>
      <w:marLeft w:val="0"/>
      <w:marRight w:val="0"/>
      <w:marTop w:val="0"/>
      <w:marBottom w:val="0"/>
      <w:divBdr>
        <w:top w:val="none" w:sz="0" w:space="0" w:color="auto"/>
        <w:left w:val="none" w:sz="0" w:space="0" w:color="auto"/>
        <w:bottom w:val="none" w:sz="0" w:space="0" w:color="auto"/>
        <w:right w:val="none" w:sz="0" w:space="0" w:color="auto"/>
      </w:divBdr>
    </w:div>
    <w:div w:id="1745642701">
      <w:bodyDiv w:val="1"/>
      <w:marLeft w:val="0"/>
      <w:marRight w:val="0"/>
      <w:marTop w:val="0"/>
      <w:marBottom w:val="0"/>
      <w:divBdr>
        <w:top w:val="none" w:sz="0" w:space="0" w:color="auto"/>
        <w:left w:val="none" w:sz="0" w:space="0" w:color="auto"/>
        <w:bottom w:val="none" w:sz="0" w:space="0" w:color="auto"/>
        <w:right w:val="none" w:sz="0" w:space="0" w:color="auto"/>
      </w:divBdr>
    </w:div>
    <w:div w:id="1747605412">
      <w:bodyDiv w:val="1"/>
      <w:marLeft w:val="0"/>
      <w:marRight w:val="0"/>
      <w:marTop w:val="0"/>
      <w:marBottom w:val="0"/>
      <w:divBdr>
        <w:top w:val="none" w:sz="0" w:space="0" w:color="auto"/>
        <w:left w:val="none" w:sz="0" w:space="0" w:color="auto"/>
        <w:bottom w:val="none" w:sz="0" w:space="0" w:color="auto"/>
        <w:right w:val="none" w:sz="0" w:space="0" w:color="auto"/>
      </w:divBdr>
    </w:div>
    <w:div w:id="1770195607">
      <w:bodyDiv w:val="1"/>
      <w:marLeft w:val="0"/>
      <w:marRight w:val="0"/>
      <w:marTop w:val="0"/>
      <w:marBottom w:val="0"/>
      <w:divBdr>
        <w:top w:val="none" w:sz="0" w:space="0" w:color="auto"/>
        <w:left w:val="none" w:sz="0" w:space="0" w:color="auto"/>
        <w:bottom w:val="none" w:sz="0" w:space="0" w:color="auto"/>
        <w:right w:val="none" w:sz="0" w:space="0" w:color="auto"/>
      </w:divBdr>
    </w:div>
    <w:div w:id="1793327534">
      <w:bodyDiv w:val="1"/>
      <w:marLeft w:val="0"/>
      <w:marRight w:val="0"/>
      <w:marTop w:val="0"/>
      <w:marBottom w:val="0"/>
      <w:divBdr>
        <w:top w:val="none" w:sz="0" w:space="0" w:color="auto"/>
        <w:left w:val="none" w:sz="0" w:space="0" w:color="auto"/>
        <w:bottom w:val="none" w:sz="0" w:space="0" w:color="auto"/>
        <w:right w:val="none" w:sz="0" w:space="0" w:color="auto"/>
      </w:divBdr>
    </w:div>
    <w:div w:id="1795293694">
      <w:bodyDiv w:val="1"/>
      <w:marLeft w:val="0"/>
      <w:marRight w:val="0"/>
      <w:marTop w:val="0"/>
      <w:marBottom w:val="0"/>
      <w:divBdr>
        <w:top w:val="none" w:sz="0" w:space="0" w:color="auto"/>
        <w:left w:val="none" w:sz="0" w:space="0" w:color="auto"/>
        <w:bottom w:val="none" w:sz="0" w:space="0" w:color="auto"/>
        <w:right w:val="none" w:sz="0" w:space="0" w:color="auto"/>
      </w:divBdr>
    </w:div>
    <w:div w:id="1835796551">
      <w:bodyDiv w:val="1"/>
      <w:marLeft w:val="0"/>
      <w:marRight w:val="0"/>
      <w:marTop w:val="0"/>
      <w:marBottom w:val="0"/>
      <w:divBdr>
        <w:top w:val="none" w:sz="0" w:space="0" w:color="auto"/>
        <w:left w:val="none" w:sz="0" w:space="0" w:color="auto"/>
        <w:bottom w:val="none" w:sz="0" w:space="0" w:color="auto"/>
        <w:right w:val="none" w:sz="0" w:space="0" w:color="auto"/>
      </w:divBdr>
    </w:div>
    <w:div w:id="1854146279">
      <w:bodyDiv w:val="1"/>
      <w:marLeft w:val="0"/>
      <w:marRight w:val="0"/>
      <w:marTop w:val="0"/>
      <w:marBottom w:val="0"/>
      <w:divBdr>
        <w:top w:val="none" w:sz="0" w:space="0" w:color="auto"/>
        <w:left w:val="none" w:sz="0" w:space="0" w:color="auto"/>
        <w:bottom w:val="none" w:sz="0" w:space="0" w:color="auto"/>
        <w:right w:val="none" w:sz="0" w:space="0" w:color="auto"/>
      </w:divBdr>
    </w:div>
    <w:div w:id="1859930197">
      <w:bodyDiv w:val="1"/>
      <w:marLeft w:val="0"/>
      <w:marRight w:val="0"/>
      <w:marTop w:val="0"/>
      <w:marBottom w:val="0"/>
      <w:divBdr>
        <w:top w:val="none" w:sz="0" w:space="0" w:color="auto"/>
        <w:left w:val="none" w:sz="0" w:space="0" w:color="auto"/>
        <w:bottom w:val="none" w:sz="0" w:space="0" w:color="auto"/>
        <w:right w:val="none" w:sz="0" w:space="0" w:color="auto"/>
      </w:divBdr>
    </w:div>
    <w:div w:id="1876959578">
      <w:bodyDiv w:val="1"/>
      <w:marLeft w:val="0"/>
      <w:marRight w:val="0"/>
      <w:marTop w:val="0"/>
      <w:marBottom w:val="0"/>
      <w:divBdr>
        <w:top w:val="none" w:sz="0" w:space="0" w:color="auto"/>
        <w:left w:val="none" w:sz="0" w:space="0" w:color="auto"/>
        <w:bottom w:val="none" w:sz="0" w:space="0" w:color="auto"/>
        <w:right w:val="none" w:sz="0" w:space="0" w:color="auto"/>
      </w:divBdr>
    </w:div>
    <w:div w:id="1901359749">
      <w:bodyDiv w:val="1"/>
      <w:marLeft w:val="0"/>
      <w:marRight w:val="0"/>
      <w:marTop w:val="0"/>
      <w:marBottom w:val="0"/>
      <w:divBdr>
        <w:top w:val="none" w:sz="0" w:space="0" w:color="auto"/>
        <w:left w:val="none" w:sz="0" w:space="0" w:color="auto"/>
        <w:bottom w:val="none" w:sz="0" w:space="0" w:color="auto"/>
        <w:right w:val="none" w:sz="0" w:space="0" w:color="auto"/>
      </w:divBdr>
    </w:div>
    <w:div w:id="1907837767">
      <w:bodyDiv w:val="1"/>
      <w:marLeft w:val="0"/>
      <w:marRight w:val="0"/>
      <w:marTop w:val="0"/>
      <w:marBottom w:val="0"/>
      <w:divBdr>
        <w:top w:val="none" w:sz="0" w:space="0" w:color="auto"/>
        <w:left w:val="none" w:sz="0" w:space="0" w:color="auto"/>
        <w:bottom w:val="none" w:sz="0" w:space="0" w:color="auto"/>
        <w:right w:val="none" w:sz="0" w:space="0" w:color="auto"/>
      </w:divBdr>
    </w:div>
    <w:div w:id="1911961241">
      <w:bodyDiv w:val="1"/>
      <w:marLeft w:val="0"/>
      <w:marRight w:val="0"/>
      <w:marTop w:val="0"/>
      <w:marBottom w:val="0"/>
      <w:divBdr>
        <w:top w:val="none" w:sz="0" w:space="0" w:color="auto"/>
        <w:left w:val="none" w:sz="0" w:space="0" w:color="auto"/>
        <w:bottom w:val="none" w:sz="0" w:space="0" w:color="auto"/>
        <w:right w:val="none" w:sz="0" w:space="0" w:color="auto"/>
      </w:divBdr>
    </w:div>
    <w:div w:id="1912738905">
      <w:bodyDiv w:val="1"/>
      <w:marLeft w:val="0"/>
      <w:marRight w:val="0"/>
      <w:marTop w:val="0"/>
      <w:marBottom w:val="0"/>
      <w:divBdr>
        <w:top w:val="none" w:sz="0" w:space="0" w:color="auto"/>
        <w:left w:val="none" w:sz="0" w:space="0" w:color="auto"/>
        <w:bottom w:val="none" w:sz="0" w:space="0" w:color="auto"/>
        <w:right w:val="none" w:sz="0" w:space="0" w:color="auto"/>
      </w:divBdr>
    </w:div>
    <w:div w:id="1912809835">
      <w:bodyDiv w:val="1"/>
      <w:marLeft w:val="0"/>
      <w:marRight w:val="0"/>
      <w:marTop w:val="0"/>
      <w:marBottom w:val="0"/>
      <w:divBdr>
        <w:top w:val="none" w:sz="0" w:space="0" w:color="auto"/>
        <w:left w:val="none" w:sz="0" w:space="0" w:color="auto"/>
        <w:bottom w:val="none" w:sz="0" w:space="0" w:color="auto"/>
        <w:right w:val="none" w:sz="0" w:space="0" w:color="auto"/>
      </w:divBdr>
    </w:div>
    <w:div w:id="1919095619">
      <w:bodyDiv w:val="1"/>
      <w:marLeft w:val="0"/>
      <w:marRight w:val="0"/>
      <w:marTop w:val="0"/>
      <w:marBottom w:val="0"/>
      <w:divBdr>
        <w:top w:val="none" w:sz="0" w:space="0" w:color="auto"/>
        <w:left w:val="none" w:sz="0" w:space="0" w:color="auto"/>
        <w:bottom w:val="none" w:sz="0" w:space="0" w:color="auto"/>
        <w:right w:val="none" w:sz="0" w:space="0" w:color="auto"/>
      </w:divBdr>
    </w:div>
    <w:div w:id="1930429137">
      <w:bodyDiv w:val="1"/>
      <w:marLeft w:val="0"/>
      <w:marRight w:val="0"/>
      <w:marTop w:val="0"/>
      <w:marBottom w:val="0"/>
      <w:divBdr>
        <w:top w:val="none" w:sz="0" w:space="0" w:color="auto"/>
        <w:left w:val="none" w:sz="0" w:space="0" w:color="auto"/>
        <w:bottom w:val="none" w:sz="0" w:space="0" w:color="auto"/>
        <w:right w:val="none" w:sz="0" w:space="0" w:color="auto"/>
      </w:divBdr>
    </w:div>
    <w:div w:id="1946813393">
      <w:bodyDiv w:val="1"/>
      <w:marLeft w:val="0"/>
      <w:marRight w:val="0"/>
      <w:marTop w:val="0"/>
      <w:marBottom w:val="0"/>
      <w:divBdr>
        <w:top w:val="none" w:sz="0" w:space="0" w:color="auto"/>
        <w:left w:val="none" w:sz="0" w:space="0" w:color="auto"/>
        <w:bottom w:val="none" w:sz="0" w:space="0" w:color="auto"/>
        <w:right w:val="none" w:sz="0" w:space="0" w:color="auto"/>
      </w:divBdr>
    </w:div>
    <w:div w:id="1956980919">
      <w:bodyDiv w:val="1"/>
      <w:marLeft w:val="0"/>
      <w:marRight w:val="0"/>
      <w:marTop w:val="0"/>
      <w:marBottom w:val="0"/>
      <w:divBdr>
        <w:top w:val="none" w:sz="0" w:space="0" w:color="auto"/>
        <w:left w:val="none" w:sz="0" w:space="0" w:color="auto"/>
        <w:bottom w:val="none" w:sz="0" w:space="0" w:color="auto"/>
        <w:right w:val="none" w:sz="0" w:space="0" w:color="auto"/>
      </w:divBdr>
    </w:div>
    <w:div w:id="1965310178">
      <w:bodyDiv w:val="1"/>
      <w:marLeft w:val="0"/>
      <w:marRight w:val="0"/>
      <w:marTop w:val="0"/>
      <w:marBottom w:val="0"/>
      <w:divBdr>
        <w:top w:val="none" w:sz="0" w:space="0" w:color="auto"/>
        <w:left w:val="none" w:sz="0" w:space="0" w:color="auto"/>
        <w:bottom w:val="none" w:sz="0" w:space="0" w:color="auto"/>
        <w:right w:val="none" w:sz="0" w:space="0" w:color="auto"/>
      </w:divBdr>
    </w:div>
    <w:div w:id="1991715153">
      <w:bodyDiv w:val="1"/>
      <w:marLeft w:val="0"/>
      <w:marRight w:val="0"/>
      <w:marTop w:val="0"/>
      <w:marBottom w:val="0"/>
      <w:divBdr>
        <w:top w:val="none" w:sz="0" w:space="0" w:color="auto"/>
        <w:left w:val="none" w:sz="0" w:space="0" w:color="auto"/>
        <w:bottom w:val="none" w:sz="0" w:space="0" w:color="auto"/>
        <w:right w:val="none" w:sz="0" w:space="0" w:color="auto"/>
      </w:divBdr>
    </w:div>
    <w:div w:id="2001539743">
      <w:bodyDiv w:val="1"/>
      <w:marLeft w:val="0"/>
      <w:marRight w:val="0"/>
      <w:marTop w:val="0"/>
      <w:marBottom w:val="0"/>
      <w:divBdr>
        <w:top w:val="none" w:sz="0" w:space="0" w:color="auto"/>
        <w:left w:val="none" w:sz="0" w:space="0" w:color="auto"/>
        <w:bottom w:val="none" w:sz="0" w:space="0" w:color="auto"/>
        <w:right w:val="none" w:sz="0" w:space="0" w:color="auto"/>
      </w:divBdr>
    </w:div>
    <w:div w:id="2090686311">
      <w:bodyDiv w:val="1"/>
      <w:marLeft w:val="0"/>
      <w:marRight w:val="0"/>
      <w:marTop w:val="0"/>
      <w:marBottom w:val="0"/>
      <w:divBdr>
        <w:top w:val="none" w:sz="0" w:space="0" w:color="auto"/>
        <w:left w:val="none" w:sz="0" w:space="0" w:color="auto"/>
        <w:bottom w:val="none" w:sz="0" w:space="0" w:color="auto"/>
        <w:right w:val="none" w:sz="0" w:space="0" w:color="auto"/>
      </w:divBdr>
    </w:div>
    <w:div w:id="2109158190">
      <w:bodyDiv w:val="1"/>
      <w:marLeft w:val="0"/>
      <w:marRight w:val="0"/>
      <w:marTop w:val="0"/>
      <w:marBottom w:val="0"/>
      <w:divBdr>
        <w:top w:val="none" w:sz="0" w:space="0" w:color="auto"/>
        <w:left w:val="none" w:sz="0" w:space="0" w:color="auto"/>
        <w:bottom w:val="none" w:sz="0" w:space="0" w:color="auto"/>
        <w:right w:val="none" w:sz="0" w:space="0" w:color="auto"/>
      </w:divBdr>
    </w:div>
    <w:div w:id="21345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D4F79-42C8-48BD-927D-DEAA06E5D95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Carlos Alexander Lopez de Paz</lastModifiedBy>
  <revision>3</revision>
  <lastPrinted>2026-02-04T16:13:00.0000000Z</lastPrinted>
  <dcterms:created xsi:type="dcterms:W3CDTF">2026-07-28T15:59:00.0000000Z</dcterms:created>
  <dcterms:modified xsi:type="dcterms:W3CDTF">2026-07-28T16:03:33.7134517Z</dcterms:modified>
</coreProperties>
</file>